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92255">
      <w:pPr>
        <w:spacing w:line="400" w:lineRule="atLeast"/>
        <w:jc w:val="center"/>
        <w:rPr>
          <w:rFonts w:ascii="新宋体" w:hAnsi="新宋体" w:eastAsia="新宋体"/>
          <w:color w:val="000000"/>
          <w:sz w:val="24"/>
        </w:rPr>
      </w:pPr>
      <w:bookmarkStart w:id="0" w:name="_GoBack"/>
      <w:bookmarkEnd w:id="0"/>
      <w:r>
        <w:rPr>
          <w:rFonts w:hint="eastAsia" w:ascii="宋体" w:hAnsi="宋体" w:cs="黑体"/>
          <w:b/>
          <w:bCs/>
          <w:sz w:val="36"/>
          <w:szCs w:val="36"/>
          <w:lang w:eastAsia="zh-CN"/>
        </w:rPr>
        <w:t>信创电脑</w:t>
      </w:r>
      <w:r>
        <w:rPr>
          <w:rFonts w:hint="eastAsia" w:ascii="宋体" w:hAnsi="宋体" w:cs="黑体"/>
          <w:b/>
          <w:bCs/>
          <w:sz w:val="36"/>
          <w:szCs w:val="36"/>
        </w:rPr>
        <w:t>采购合同</w:t>
      </w:r>
    </w:p>
    <w:p w14:paraId="1381446D">
      <w:pPr>
        <w:rPr>
          <w:rFonts w:ascii="新宋体" w:hAnsi="新宋体" w:eastAsia="新宋体"/>
          <w:color w:val="000000"/>
          <w:sz w:val="24"/>
        </w:rPr>
      </w:pPr>
      <w:r>
        <w:rPr>
          <w:rFonts w:hint="eastAsia" w:ascii="新宋体" w:hAnsi="新宋体" w:eastAsia="新宋体"/>
          <w:color w:val="000000"/>
          <w:sz w:val="24"/>
        </w:rPr>
        <w:t>甲方：</w:t>
      </w:r>
    </w:p>
    <w:p w14:paraId="7345A283">
      <w:pPr>
        <w:rPr>
          <w:rFonts w:ascii="新宋体" w:hAnsi="新宋体" w:eastAsia="新宋体"/>
          <w:color w:val="000000"/>
          <w:sz w:val="24"/>
        </w:rPr>
      </w:pPr>
      <w:r>
        <w:rPr>
          <w:rFonts w:hint="eastAsia" w:ascii="新宋体" w:hAnsi="新宋体" w:eastAsia="新宋体"/>
          <w:color w:val="000000"/>
          <w:sz w:val="24"/>
        </w:rPr>
        <w:t>乙方：</w:t>
      </w:r>
    </w:p>
    <w:p w14:paraId="3A40FBE8">
      <w:pPr>
        <w:ind w:firstLine="480" w:firstLineChars="200"/>
        <w:rPr>
          <w:rFonts w:ascii="新宋体" w:hAnsi="新宋体" w:eastAsia="新宋体"/>
          <w:color w:val="000000"/>
          <w:sz w:val="24"/>
        </w:rPr>
      </w:pPr>
      <w:r>
        <w:rPr>
          <w:rFonts w:hint="eastAsia" w:ascii="新宋体" w:hAnsi="新宋体" w:eastAsia="新宋体"/>
          <w:color w:val="000000"/>
          <w:sz w:val="24"/>
        </w:rPr>
        <w:t>根据《中华人民共和国民法典》等相关法律，兹经甲、乙双方同意，按照以下条款，由甲方向乙方采购以下货物和服务。</w:t>
      </w:r>
    </w:p>
    <w:p w14:paraId="138AD8E0">
      <w:pPr>
        <w:pStyle w:val="5"/>
        <w:numPr>
          <w:ilvl w:val="0"/>
          <w:numId w:val="1"/>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合同标的及价款</w:t>
      </w:r>
    </w:p>
    <w:tbl>
      <w:tblPr>
        <w:tblStyle w:val="3"/>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369"/>
        <w:gridCol w:w="1262"/>
        <w:gridCol w:w="1453"/>
        <w:gridCol w:w="765"/>
        <w:gridCol w:w="510"/>
        <w:gridCol w:w="945"/>
        <w:gridCol w:w="1052"/>
        <w:gridCol w:w="1190"/>
      </w:tblGrid>
      <w:tr w14:paraId="02FB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529" w:type="dxa"/>
            <w:noWrap w:val="0"/>
            <w:vAlign w:val="center"/>
          </w:tcPr>
          <w:p w14:paraId="5C0A9162">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序号</w:t>
            </w:r>
          </w:p>
        </w:tc>
        <w:tc>
          <w:tcPr>
            <w:tcW w:w="1369" w:type="dxa"/>
            <w:noWrap w:val="0"/>
            <w:vAlign w:val="center"/>
          </w:tcPr>
          <w:p w14:paraId="1F1343A7">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货物名称</w:t>
            </w:r>
          </w:p>
        </w:tc>
        <w:tc>
          <w:tcPr>
            <w:tcW w:w="1262" w:type="dxa"/>
            <w:noWrap w:val="0"/>
            <w:vAlign w:val="center"/>
          </w:tcPr>
          <w:p w14:paraId="36D92F17">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制造商</w:t>
            </w:r>
          </w:p>
        </w:tc>
        <w:tc>
          <w:tcPr>
            <w:tcW w:w="1453" w:type="dxa"/>
            <w:noWrap w:val="0"/>
            <w:vAlign w:val="center"/>
          </w:tcPr>
          <w:p w14:paraId="65337B12">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型号</w:t>
            </w:r>
          </w:p>
        </w:tc>
        <w:tc>
          <w:tcPr>
            <w:tcW w:w="765" w:type="dxa"/>
            <w:noWrap w:val="0"/>
            <w:vAlign w:val="center"/>
          </w:tcPr>
          <w:p w14:paraId="495EB677">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数量</w:t>
            </w:r>
          </w:p>
        </w:tc>
        <w:tc>
          <w:tcPr>
            <w:tcW w:w="510" w:type="dxa"/>
            <w:noWrap w:val="0"/>
            <w:vAlign w:val="center"/>
          </w:tcPr>
          <w:p w14:paraId="0A38BEC8">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单位</w:t>
            </w:r>
          </w:p>
        </w:tc>
        <w:tc>
          <w:tcPr>
            <w:tcW w:w="945" w:type="dxa"/>
            <w:noWrap w:val="0"/>
            <w:vAlign w:val="center"/>
          </w:tcPr>
          <w:p w14:paraId="5B687AE6">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含税单价</w:t>
            </w:r>
          </w:p>
          <w:p w14:paraId="50B026D9">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（元）</w:t>
            </w:r>
          </w:p>
        </w:tc>
        <w:tc>
          <w:tcPr>
            <w:tcW w:w="1052" w:type="dxa"/>
            <w:noWrap w:val="0"/>
            <w:vAlign w:val="center"/>
          </w:tcPr>
          <w:p w14:paraId="077B6C1B">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含税小计（元）</w:t>
            </w:r>
          </w:p>
        </w:tc>
        <w:tc>
          <w:tcPr>
            <w:tcW w:w="1190" w:type="dxa"/>
            <w:noWrap w:val="0"/>
            <w:vAlign w:val="center"/>
          </w:tcPr>
          <w:p w14:paraId="64EB88D2">
            <w:pPr>
              <w:adjustRightInd w:val="0"/>
              <w:snapToGrid w:val="0"/>
              <w:spacing w:line="50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备注或参数说明</w:t>
            </w:r>
          </w:p>
        </w:tc>
      </w:tr>
      <w:tr w14:paraId="7AE8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529" w:type="dxa"/>
            <w:noWrap w:val="0"/>
            <w:vAlign w:val="center"/>
          </w:tcPr>
          <w:p w14:paraId="3FAE1A3F">
            <w:pPr>
              <w:pStyle w:val="2"/>
              <w:jc w:val="center"/>
              <w:rPr>
                <w:rFonts w:ascii="宋体" w:hAnsi="宋体" w:cs="宋体"/>
                <w:color w:val="000000"/>
                <w:sz w:val="24"/>
                <w:lang w:bidi="ar"/>
              </w:rPr>
            </w:pPr>
          </w:p>
        </w:tc>
        <w:tc>
          <w:tcPr>
            <w:tcW w:w="1369" w:type="dxa"/>
            <w:noWrap w:val="0"/>
            <w:vAlign w:val="center"/>
          </w:tcPr>
          <w:p w14:paraId="409E89EB">
            <w:pPr>
              <w:widowControl/>
              <w:jc w:val="center"/>
              <w:textAlignment w:val="center"/>
              <w:rPr>
                <w:rFonts w:ascii="宋体" w:hAnsi="宋体" w:cs="宋体"/>
                <w:color w:val="000000"/>
                <w:kern w:val="0"/>
                <w:sz w:val="24"/>
                <w:lang w:bidi="ar"/>
              </w:rPr>
            </w:pPr>
          </w:p>
        </w:tc>
        <w:tc>
          <w:tcPr>
            <w:tcW w:w="1262" w:type="dxa"/>
            <w:noWrap w:val="0"/>
            <w:vAlign w:val="center"/>
          </w:tcPr>
          <w:p w14:paraId="5CDF0DB5">
            <w:pPr>
              <w:widowControl/>
              <w:jc w:val="center"/>
              <w:textAlignment w:val="center"/>
              <w:rPr>
                <w:rFonts w:ascii="宋体" w:hAnsi="宋体" w:cs="宋体"/>
                <w:color w:val="000000"/>
                <w:kern w:val="0"/>
                <w:sz w:val="24"/>
                <w:lang w:bidi="ar"/>
              </w:rPr>
            </w:pPr>
          </w:p>
        </w:tc>
        <w:tc>
          <w:tcPr>
            <w:tcW w:w="1453" w:type="dxa"/>
            <w:noWrap w:val="0"/>
            <w:vAlign w:val="center"/>
          </w:tcPr>
          <w:p w14:paraId="592BDDD1">
            <w:pPr>
              <w:widowControl/>
              <w:jc w:val="center"/>
              <w:textAlignment w:val="center"/>
              <w:rPr>
                <w:rFonts w:ascii="宋体" w:hAnsi="宋体" w:cs="宋体"/>
                <w:color w:val="000000"/>
                <w:kern w:val="0"/>
                <w:sz w:val="24"/>
                <w:lang w:bidi="ar"/>
              </w:rPr>
            </w:pPr>
          </w:p>
        </w:tc>
        <w:tc>
          <w:tcPr>
            <w:tcW w:w="765" w:type="dxa"/>
            <w:noWrap w:val="0"/>
            <w:vAlign w:val="center"/>
          </w:tcPr>
          <w:p w14:paraId="0CAF7957">
            <w:pPr>
              <w:widowControl/>
              <w:jc w:val="center"/>
              <w:textAlignment w:val="center"/>
              <w:rPr>
                <w:rFonts w:ascii="宋体" w:hAnsi="宋体" w:cs="宋体"/>
                <w:color w:val="000000"/>
                <w:kern w:val="0"/>
                <w:sz w:val="24"/>
                <w:lang w:bidi="ar"/>
              </w:rPr>
            </w:pPr>
          </w:p>
        </w:tc>
        <w:tc>
          <w:tcPr>
            <w:tcW w:w="510" w:type="dxa"/>
            <w:noWrap w:val="0"/>
            <w:vAlign w:val="center"/>
          </w:tcPr>
          <w:p w14:paraId="68B644D9">
            <w:pPr>
              <w:widowControl/>
              <w:jc w:val="center"/>
              <w:textAlignment w:val="center"/>
              <w:rPr>
                <w:rFonts w:ascii="宋体" w:hAnsi="宋体" w:cs="宋体"/>
                <w:color w:val="000000"/>
                <w:kern w:val="0"/>
                <w:sz w:val="24"/>
                <w:lang w:bidi="ar"/>
              </w:rPr>
            </w:pPr>
          </w:p>
        </w:tc>
        <w:tc>
          <w:tcPr>
            <w:tcW w:w="945" w:type="dxa"/>
            <w:noWrap w:val="0"/>
            <w:vAlign w:val="center"/>
          </w:tcPr>
          <w:p w14:paraId="2F76A47E">
            <w:pPr>
              <w:widowControl/>
              <w:jc w:val="center"/>
              <w:textAlignment w:val="center"/>
              <w:rPr>
                <w:rFonts w:ascii="宋体" w:hAnsi="宋体" w:cs="宋体"/>
                <w:color w:val="000000"/>
                <w:kern w:val="0"/>
                <w:sz w:val="24"/>
                <w:lang w:bidi="ar"/>
              </w:rPr>
            </w:pPr>
          </w:p>
        </w:tc>
        <w:tc>
          <w:tcPr>
            <w:tcW w:w="1052" w:type="dxa"/>
            <w:noWrap w:val="0"/>
            <w:vAlign w:val="center"/>
          </w:tcPr>
          <w:p w14:paraId="11056E37">
            <w:pPr>
              <w:widowControl/>
              <w:jc w:val="center"/>
              <w:textAlignment w:val="center"/>
              <w:rPr>
                <w:rFonts w:ascii="宋体" w:hAnsi="宋体" w:cs="宋体"/>
                <w:color w:val="000000"/>
                <w:kern w:val="0"/>
                <w:sz w:val="24"/>
                <w:lang w:bidi="ar"/>
              </w:rPr>
            </w:pPr>
          </w:p>
        </w:tc>
        <w:tc>
          <w:tcPr>
            <w:tcW w:w="1190" w:type="dxa"/>
            <w:noWrap w:val="0"/>
            <w:vAlign w:val="top"/>
          </w:tcPr>
          <w:p w14:paraId="6A394113">
            <w:pPr>
              <w:jc w:val="center"/>
              <w:rPr>
                <w:rFonts w:ascii="新宋体" w:hAnsi="新宋体" w:eastAsia="新宋体" w:cs="新宋体"/>
                <w:color w:val="000000"/>
                <w:szCs w:val="21"/>
              </w:rPr>
            </w:pPr>
          </w:p>
        </w:tc>
      </w:tr>
      <w:tr w14:paraId="6FE8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529" w:type="dxa"/>
            <w:noWrap w:val="0"/>
            <w:vAlign w:val="center"/>
          </w:tcPr>
          <w:p w14:paraId="5B5AB285">
            <w:pPr>
              <w:widowControl/>
              <w:jc w:val="center"/>
              <w:textAlignment w:val="top"/>
              <w:rPr>
                <w:rFonts w:ascii="新宋体" w:hAnsi="新宋体" w:eastAsia="新宋体" w:cs="新宋体"/>
                <w:color w:val="000000"/>
                <w:szCs w:val="21"/>
              </w:rPr>
            </w:pPr>
            <w:r>
              <w:rPr>
                <w:rFonts w:hint="eastAsia" w:ascii="新宋体" w:hAnsi="新宋体" w:eastAsia="新宋体" w:cs="新宋体"/>
                <w:color w:val="000000"/>
                <w:szCs w:val="21"/>
              </w:rPr>
              <w:t>3</w:t>
            </w:r>
          </w:p>
        </w:tc>
        <w:tc>
          <w:tcPr>
            <w:tcW w:w="6304" w:type="dxa"/>
            <w:gridSpan w:val="6"/>
            <w:noWrap w:val="0"/>
            <w:vAlign w:val="center"/>
          </w:tcPr>
          <w:p w14:paraId="0E0F565C">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共计</w:t>
            </w:r>
          </w:p>
        </w:tc>
        <w:tc>
          <w:tcPr>
            <w:tcW w:w="1052" w:type="dxa"/>
            <w:noWrap w:val="0"/>
            <w:vAlign w:val="center"/>
          </w:tcPr>
          <w:p w14:paraId="1A016C62">
            <w:pPr>
              <w:widowControl/>
              <w:jc w:val="center"/>
              <w:textAlignment w:val="center"/>
              <w:rPr>
                <w:rFonts w:ascii="宋体" w:hAnsi="宋体" w:cs="宋体"/>
                <w:color w:val="000000"/>
                <w:kern w:val="0"/>
                <w:sz w:val="24"/>
                <w:lang w:bidi="ar"/>
              </w:rPr>
            </w:pPr>
          </w:p>
        </w:tc>
        <w:tc>
          <w:tcPr>
            <w:tcW w:w="1190" w:type="dxa"/>
            <w:noWrap w:val="0"/>
            <w:vAlign w:val="center"/>
          </w:tcPr>
          <w:p w14:paraId="42402E2F">
            <w:pPr>
              <w:widowControl/>
              <w:jc w:val="center"/>
              <w:textAlignment w:val="top"/>
              <w:rPr>
                <w:rFonts w:ascii="新宋体" w:hAnsi="新宋体" w:eastAsia="新宋体" w:cs="新宋体"/>
                <w:color w:val="000000"/>
                <w:szCs w:val="21"/>
              </w:rPr>
            </w:pPr>
            <w:r>
              <w:rPr>
                <w:rFonts w:hint="eastAsia" w:ascii="新宋体" w:hAnsi="新宋体" w:eastAsia="新宋体" w:cs="新宋体"/>
                <w:color w:val="000000"/>
                <w:kern w:val="0"/>
                <w:szCs w:val="21"/>
                <w:lang w:bidi="ar"/>
              </w:rPr>
              <w:t>含增值税专用发票</w:t>
            </w:r>
          </w:p>
        </w:tc>
      </w:tr>
    </w:tbl>
    <w:p w14:paraId="038DE912">
      <w:pPr>
        <w:rPr>
          <w:rFonts w:ascii="新宋体" w:hAnsi="新宋体" w:eastAsia="新宋体"/>
          <w:color w:val="000000"/>
          <w:sz w:val="24"/>
        </w:rPr>
      </w:pPr>
      <w:r>
        <w:rPr>
          <w:rFonts w:hint="eastAsia" w:ascii="新宋体" w:hAnsi="新宋体" w:eastAsia="新宋体"/>
          <w:color w:val="000000"/>
          <w:sz w:val="24"/>
        </w:rPr>
        <w:t>合同总价：元，大写：（该总价包含但不限于货物费、包装费、运输费、装卸费、安装调试费、税费等验收合格之前应发生的所有费用，以及免费质保期内可能发生的服务费用等）。</w:t>
      </w:r>
    </w:p>
    <w:p w14:paraId="49D175E7">
      <w:pPr>
        <w:pStyle w:val="5"/>
        <w:numPr>
          <w:ilvl w:val="0"/>
          <w:numId w:val="1"/>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交货时间及地点</w:t>
      </w:r>
    </w:p>
    <w:p w14:paraId="7C24832D">
      <w:pPr>
        <w:pStyle w:val="5"/>
        <w:numPr>
          <w:ilvl w:val="0"/>
          <w:numId w:val="2"/>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交货时间</w:t>
      </w:r>
    </w:p>
    <w:p w14:paraId="720540C3">
      <w:pPr>
        <w:ind w:firstLine="480" w:firstLineChars="200"/>
        <w:rPr>
          <w:rFonts w:ascii="新宋体" w:hAnsi="新宋体" w:eastAsia="新宋体"/>
          <w:bCs/>
          <w:color w:val="000000"/>
          <w:sz w:val="24"/>
        </w:rPr>
      </w:pPr>
      <w:r>
        <w:rPr>
          <w:rFonts w:hint="eastAsia" w:ascii="新宋体" w:hAnsi="新宋体" w:eastAsia="新宋体"/>
          <w:bCs/>
          <w:color w:val="000000"/>
          <w:sz w:val="24"/>
        </w:rPr>
        <w:t>乙方应在合同签定后</w:t>
      </w:r>
      <w:r>
        <w:rPr>
          <w:rFonts w:hint="eastAsia" w:ascii="新宋体" w:hAnsi="新宋体" w:eastAsia="新宋体"/>
          <w:bCs/>
          <w:color w:val="000000"/>
          <w:sz w:val="24"/>
          <w:lang w:val="en-US" w:eastAsia="zh-CN"/>
        </w:rPr>
        <w:t>30</w:t>
      </w:r>
      <w:r>
        <w:rPr>
          <w:rFonts w:ascii="新宋体" w:hAnsi="新宋体" w:eastAsia="新宋体"/>
          <w:bCs/>
          <w:color w:val="000000"/>
          <w:sz w:val="24"/>
        </w:rPr>
        <w:t>个日历日内</w:t>
      </w:r>
      <w:r>
        <w:rPr>
          <w:rFonts w:hint="eastAsia" w:ascii="新宋体" w:hAnsi="新宋体" w:eastAsia="新宋体"/>
          <w:bCs/>
          <w:color w:val="000000"/>
          <w:sz w:val="24"/>
        </w:rPr>
        <w:t>按甲方要求完成实施（交货）和验收并投入使用。乙方</w:t>
      </w:r>
      <w:r>
        <w:rPr>
          <w:rFonts w:hint="eastAsia" w:ascii="新宋体" w:hAnsi="新宋体" w:eastAsia="新宋体"/>
          <w:color w:val="000000"/>
          <w:sz w:val="24"/>
        </w:rPr>
        <w:t>安装调试服务</w:t>
      </w:r>
      <w:r>
        <w:rPr>
          <w:rFonts w:hint="eastAsia" w:ascii="新宋体" w:hAnsi="新宋体" w:eastAsia="新宋体"/>
          <w:bCs/>
          <w:color w:val="000000"/>
          <w:sz w:val="24"/>
        </w:rPr>
        <w:t>应当选择在甲方工作日期间完成。</w:t>
      </w:r>
    </w:p>
    <w:p w14:paraId="2A8F3036">
      <w:pPr>
        <w:pStyle w:val="5"/>
        <w:numPr>
          <w:ilvl w:val="0"/>
          <w:numId w:val="2"/>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交货及安装调试地点</w:t>
      </w:r>
    </w:p>
    <w:p w14:paraId="48C0C31F">
      <w:pPr>
        <w:ind w:firstLine="480" w:firstLineChars="200"/>
        <w:rPr>
          <w:rFonts w:ascii="新宋体" w:hAnsi="新宋体" w:eastAsia="新宋体"/>
          <w:bCs/>
          <w:color w:val="000000"/>
          <w:sz w:val="24"/>
        </w:rPr>
      </w:pPr>
      <w:r>
        <w:rPr>
          <w:rFonts w:hint="eastAsia" w:ascii="新宋体" w:hAnsi="新宋体" w:eastAsia="新宋体"/>
          <w:bCs/>
          <w:color w:val="000000"/>
          <w:sz w:val="24"/>
        </w:rPr>
        <w:t>重庆市江北区五简路</w:t>
      </w:r>
      <w:r>
        <w:rPr>
          <w:rFonts w:ascii="新宋体" w:hAnsi="新宋体" w:eastAsia="新宋体"/>
          <w:bCs/>
          <w:color w:val="000000"/>
          <w:sz w:val="24"/>
        </w:rPr>
        <w:t>2号。</w:t>
      </w:r>
    </w:p>
    <w:p w14:paraId="4D1DF871">
      <w:pPr>
        <w:pStyle w:val="5"/>
        <w:numPr>
          <w:ilvl w:val="0"/>
          <w:numId w:val="1"/>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付款方式及账户信息</w:t>
      </w:r>
      <w:r>
        <w:rPr>
          <w:rFonts w:ascii="新宋体" w:hAnsi="新宋体" w:eastAsia="新宋体"/>
          <w:b/>
          <w:bCs/>
          <w:color w:val="000000"/>
          <w:sz w:val="24"/>
        </w:rPr>
        <w:t xml:space="preserve"> </w:t>
      </w:r>
    </w:p>
    <w:p w14:paraId="639F5A32">
      <w:pPr>
        <w:pStyle w:val="5"/>
        <w:numPr>
          <w:ilvl w:val="0"/>
          <w:numId w:val="3"/>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付款方式</w:t>
      </w:r>
    </w:p>
    <w:p w14:paraId="3C68DFE3">
      <w:pPr>
        <w:pStyle w:val="6"/>
        <w:spacing w:line="360" w:lineRule="auto"/>
        <w:ind w:firstLineChars="0"/>
        <w:rPr>
          <w:rFonts w:ascii="新宋体" w:hAnsi="新宋体" w:eastAsia="新宋体"/>
          <w:color w:val="000000"/>
          <w:sz w:val="24"/>
        </w:rPr>
      </w:pPr>
      <w:r>
        <w:rPr>
          <w:rFonts w:hint="eastAsia" w:ascii="新宋体" w:hAnsi="新宋体" w:eastAsia="新宋体"/>
          <w:color w:val="000000"/>
          <w:sz w:val="24"/>
        </w:rPr>
        <w:t>甲方应于本项目所有设备到货并完成安装调试服务且验收合格并</w:t>
      </w:r>
      <w:r>
        <w:rPr>
          <w:rFonts w:ascii="新宋体" w:hAnsi="新宋体" w:eastAsia="新宋体"/>
          <w:color w:val="000000"/>
          <w:sz w:val="24"/>
        </w:rPr>
        <w:t>收到乙方开具的</w:t>
      </w:r>
      <w:r>
        <w:rPr>
          <w:rFonts w:hint="eastAsia" w:ascii="新宋体" w:hAnsi="新宋体" w:eastAsia="新宋体"/>
          <w:color w:val="000000"/>
          <w:sz w:val="24"/>
          <w:lang w:val="en-US" w:eastAsia="zh-CN"/>
        </w:rPr>
        <w:t>90</w:t>
      </w:r>
      <w:r>
        <w:rPr>
          <w:rFonts w:hint="eastAsia" w:ascii="新宋体" w:hAnsi="新宋体" w:eastAsia="新宋体"/>
          <w:color w:val="000000"/>
          <w:sz w:val="24"/>
        </w:rPr>
        <w:t>%</w:t>
      </w:r>
      <w:r>
        <w:rPr>
          <w:rFonts w:ascii="新宋体" w:hAnsi="新宋体" w:eastAsia="新宋体"/>
          <w:color w:val="000000"/>
          <w:sz w:val="24"/>
        </w:rPr>
        <w:t>增值税专用发票</w:t>
      </w:r>
      <w:r>
        <w:rPr>
          <w:rFonts w:hint="eastAsia" w:ascii="新宋体" w:hAnsi="新宋体" w:eastAsia="新宋体"/>
          <w:color w:val="000000"/>
          <w:sz w:val="24"/>
        </w:rPr>
        <w:t>后10</w:t>
      </w:r>
      <w:r>
        <w:rPr>
          <w:rFonts w:ascii="新宋体" w:hAnsi="新宋体" w:eastAsia="新宋体"/>
          <w:color w:val="000000"/>
          <w:sz w:val="24"/>
        </w:rPr>
        <w:t>个工作日内，</w:t>
      </w:r>
      <w:r>
        <w:rPr>
          <w:rFonts w:hint="eastAsia" w:ascii="新宋体" w:hAnsi="新宋体" w:eastAsia="新宋体"/>
          <w:color w:val="000000"/>
          <w:sz w:val="24"/>
        </w:rPr>
        <w:t>支付合同价款的</w:t>
      </w:r>
      <w:r>
        <w:rPr>
          <w:rFonts w:hint="eastAsia" w:ascii="新宋体" w:hAnsi="新宋体" w:eastAsia="新宋体"/>
          <w:color w:val="000000"/>
          <w:sz w:val="24"/>
          <w:lang w:val="en-US" w:eastAsia="zh-CN"/>
        </w:rPr>
        <w:t>90</w:t>
      </w:r>
      <w:r>
        <w:rPr>
          <w:rFonts w:hint="eastAsia" w:ascii="新宋体" w:hAnsi="新宋体" w:eastAsia="新宋体"/>
          <w:color w:val="000000"/>
          <w:sz w:val="24"/>
        </w:rPr>
        <w:t>%即</w:t>
      </w:r>
      <w:r>
        <w:rPr>
          <w:rFonts w:ascii="新宋体" w:hAnsi="新宋体" w:eastAsia="新宋体"/>
          <w:color w:val="000000"/>
          <w:sz w:val="24"/>
        </w:rPr>
        <w:t>人民币：</w:t>
      </w:r>
      <w:r>
        <w:rPr>
          <w:rFonts w:hint="eastAsia" w:ascii="新宋体" w:hAnsi="新宋体" w:eastAsia="新宋体"/>
          <w:color w:val="000000"/>
          <w:sz w:val="24"/>
        </w:rPr>
        <w:t>元（大写：）。余款 元（大写：）作为乙方向甲方提供的质量保证金。质保期内，若因乙方提供的产品出现质量问题，乙方不能按照本合同要求提供服务的，甲方可找第三方提供服务，服务费用全部从质量及履约保证金中扣除，质量及履约保证金不足的甲方有权要求乙方支付剩余价款。质保期满后，若乙方无违约，在收到乙方开具的</w:t>
      </w:r>
      <w:r>
        <w:rPr>
          <w:rFonts w:hint="eastAsia" w:ascii="新宋体" w:hAnsi="新宋体" w:eastAsia="新宋体"/>
          <w:color w:val="000000"/>
          <w:sz w:val="24"/>
          <w:lang w:val="en-US" w:eastAsia="zh-CN"/>
        </w:rPr>
        <w:t>10%</w:t>
      </w:r>
      <w:r>
        <w:rPr>
          <w:rFonts w:hint="eastAsia" w:ascii="新宋体" w:hAnsi="新宋体" w:eastAsia="新宋体"/>
          <w:color w:val="000000"/>
          <w:sz w:val="24"/>
        </w:rPr>
        <w:t>增值税专用发票后 10 个工作日内，甲方向乙方无息支付质量保证金的余款，计人民币 元（大写：整）。</w:t>
      </w:r>
    </w:p>
    <w:p w14:paraId="3E8B4656">
      <w:pPr>
        <w:pStyle w:val="6"/>
        <w:numPr>
          <w:ilvl w:val="0"/>
          <w:numId w:val="3"/>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甲方开票信息</w:t>
      </w:r>
    </w:p>
    <w:p w14:paraId="6AC8A092">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公司名称：</w:t>
      </w:r>
    </w:p>
    <w:p w14:paraId="147041E3">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公司地址：</w:t>
      </w:r>
    </w:p>
    <w:p w14:paraId="3DA13364">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电话：</w:t>
      </w:r>
    </w:p>
    <w:p w14:paraId="4EE41314">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开户行：</w:t>
      </w:r>
    </w:p>
    <w:p w14:paraId="360EF753">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账号：</w:t>
      </w:r>
    </w:p>
    <w:p w14:paraId="7CEB0CF0">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统一社会信用代码（税号）：</w:t>
      </w:r>
    </w:p>
    <w:p w14:paraId="6E99D090">
      <w:pPr>
        <w:pStyle w:val="6"/>
        <w:numPr>
          <w:ilvl w:val="0"/>
          <w:numId w:val="3"/>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乙方收款信息</w:t>
      </w:r>
    </w:p>
    <w:p w14:paraId="3DCCC9AD">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乙方账户名称：</w:t>
      </w:r>
    </w:p>
    <w:p w14:paraId="351BA2B9">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乙方收款银行帐号：</w:t>
      </w:r>
    </w:p>
    <w:p w14:paraId="13833F49">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乙方开户银行：</w:t>
      </w:r>
      <w:r>
        <w:rPr>
          <w:rFonts w:hint="eastAsia" w:ascii="新宋体" w:hAnsi="新宋体" w:eastAsia="新宋体" w:cs="Times New Roman"/>
          <w:color w:val="000000"/>
          <w:sz w:val="24"/>
        </w:rPr>
        <w:t xml:space="preserve"> </w:t>
      </w:r>
    </w:p>
    <w:p w14:paraId="469A3C17">
      <w:pPr>
        <w:pStyle w:val="5"/>
        <w:numPr>
          <w:ilvl w:val="0"/>
          <w:numId w:val="1"/>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lang w:eastAsia="zh-CN"/>
        </w:rPr>
        <w:t>项目实施要求、</w:t>
      </w:r>
      <w:r>
        <w:rPr>
          <w:rFonts w:hint="eastAsia" w:ascii="新宋体" w:hAnsi="新宋体" w:eastAsia="新宋体"/>
          <w:b/>
          <w:bCs/>
          <w:color w:val="000000"/>
          <w:sz w:val="24"/>
        </w:rPr>
        <w:t>质量保证</w:t>
      </w:r>
      <w:r>
        <w:rPr>
          <w:rFonts w:hint="eastAsia" w:ascii="新宋体" w:hAnsi="新宋体" w:eastAsia="新宋体"/>
          <w:b/>
          <w:bCs/>
          <w:color w:val="000000"/>
          <w:sz w:val="24"/>
          <w:lang w:eastAsia="zh-CN"/>
        </w:rPr>
        <w:t>、</w:t>
      </w:r>
      <w:r>
        <w:rPr>
          <w:rFonts w:hint="eastAsia" w:ascii="新宋体" w:hAnsi="新宋体" w:eastAsia="新宋体"/>
          <w:b/>
          <w:bCs/>
          <w:color w:val="000000"/>
          <w:sz w:val="24"/>
        </w:rPr>
        <w:t>售后服务</w:t>
      </w:r>
    </w:p>
    <w:p w14:paraId="555839D5">
      <w:pPr>
        <w:pStyle w:val="5"/>
        <w:numPr>
          <w:ilvl w:val="0"/>
          <w:numId w:val="0"/>
        </w:numPr>
        <w:spacing w:line="360" w:lineRule="auto"/>
        <w:ind w:leftChars="0"/>
        <w:rPr>
          <w:rFonts w:hint="eastAsia" w:ascii="新宋体" w:hAnsi="新宋体" w:eastAsia="新宋体"/>
          <w:b/>
          <w:bCs/>
          <w:color w:val="000000"/>
          <w:sz w:val="24"/>
          <w:lang w:eastAsia="zh-CN"/>
        </w:rPr>
      </w:pPr>
      <w:r>
        <w:rPr>
          <w:rFonts w:hint="eastAsia" w:ascii="新宋体" w:hAnsi="新宋体" w:eastAsia="新宋体"/>
          <w:b/>
          <w:bCs/>
          <w:color w:val="000000"/>
          <w:sz w:val="24"/>
          <w:lang w:eastAsia="zh-CN"/>
        </w:rPr>
        <w:t>（一）项目实施要求</w:t>
      </w:r>
    </w:p>
    <w:p w14:paraId="7746EA73">
      <w:pPr>
        <w:pStyle w:val="5"/>
        <w:numPr>
          <w:ilvl w:val="0"/>
          <w:numId w:val="0"/>
        </w:numPr>
        <w:spacing w:line="360" w:lineRule="auto"/>
        <w:ind w:leftChars="0"/>
        <w:rPr>
          <w:rFonts w:hint="eastAsia" w:ascii="新宋体" w:hAnsi="新宋体" w:eastAsia="新宋体" w:cs="Calibri"/>
          <w:color w:val="000000"/>
          <w:kern w:val="2"/>
          <w:sz w:val="24"/>
          <w:szCs w:val="21"/>
          <w:lang w:val="en-US" w:eastAsia="zh-CN" w:bidi="ar-SA"/>
        </w:rPr>
      </w:pPr>
      <w:r>
        <w:rPr>
          <w:rFonts w:hint="eastAsia" w:ascii="新宋体" w:hAnsi="新宋体" w:eastAsia="新宋体" w:cs="Calibri"/>
          <w:color w:val="000000"/>
          <w:kern w:val="2"/>
          <w:sz w:val="24"/>
          <w:szCs w:val="21"/>
          <w:lang w:val="en-US" w:eastAsia="zh-CN" w:bidi="ar-SA"/>
        </w:rPr>
        <w:t>1、预装正版国产操作系统：预装银河麒麟V10正版系统，激活正版、永久授权（提供正版授权书），带官方激活标识，无试用版、测试版。</w:t>
      </w:r>
    </w:p>
    <w:p w14:paraId="3157A963">
      <w:pPr>
        <w:pStyle w:val="5"/>
        <w:numPr>
          <w:ilvl w:val="0"/>
          <w:numId w:val="0"/>
        </w:numPr>
        <w:spacing w:line="360" w:lineRule="auto"/>
        <w:ind w:leftChars="0"/>
        <w:rPr>
          <w:rFonts w:hint="eastAsia" w:ascii="新宋体" w:hAnsi="新宋体" w:eastAsia="新宋体" w:cs="Calibri"/>
          <w:color w:val="000000"/>
          <w:kern w:val="2"/>
          <w:sz w:val="24"/>
          <w:szCs w:val="21"/>
          <w:lang w:val="en-US" w:eastAsia="zh-CN" w:bidi="ar-SA"/>
        </w:rPr>
      </w:pPr>
      <w:r>
        <w:rPr>
          <w:rFonts w:hint="eastAsia" w:ascii="新宋体" w:hAnsi="新宋体" w:eastAsia="新宋体" w:cs="Calibri"/>
          <w:color w:val="000000"/>
          <w:kern w:val="2"/>
          <w:sz w:val="24"/>
          <w:szCs w:val="21"/>
          <w:lang w:val="en-US" w:eastAsia="zh-CN" w:bidi="ar-SA"/>
        </w:rPr>
        <w:t>2、预装全套国产办公环境：预装WPS办公软件（甲方自备激活码）、字体库、输入法、压缩工具、PDF阅读器等常用办公软件。</w:t>
      </w:r>
    </w:p>
    <w:p w14:paraId="6180E460">
      <w:pPr>
        <w:pStyle w:val="5"/>
        <w:numPr>
          <w:ilvl w:val="0"/>
          <w:numId w:val="0"/>
        </w:numPr>
        <w:spacing w:line="360" w:lineRule="auto"/>
        <w:ind w:leftChars="0"/>
        <w:rPr>
          <w:rFonts w:hint="eastAsia" w:ascii="新宋体" w:hAnsi="新宋体" w:eastAsia="新宋体" w:cs="Calibri"/>
          <w:color w:val="000000"/>
          <w:kern w:val="2"/>
          <w:sz w:val="24"/>
          <w:szCs w:val="21"/>
          <w:lang w:val="en-US" w:eastAsia="zh-CN" w:bidi="ar-SA"/>
        </w:rPr>
      </w:pPr>
      <w:r>
        <w:rPr>
          <w:rFonts w:hint="eastAsia" w:ascii="新宋体" w:hAnsi="新宋体" w:eastAsia="新宋体" w:cs="Calibri"/>
          <w:color w:val="000000"/>
          <w:kern w:val="2"/>
          <w:sz w:val="24"/>
          <w:szCs w:val="21"/>
          <w:lang w:val="en-US" w:eastAsia="zh-CN" w:bidi="ar-SA"/>
        </w:rPr>
        <w:t>3.旧机迁移服务：提供旧电脑资料迁移、包含但不限于电脑文件、文档、收藏夹、常用软件配置迁移服务，保障资料不丢失。并将旧电脑转移到甲方指定库房并进行全盘格式化操作。</w:t>
      </w:r>
    </w:p>
    <w:p w14:paraId="2D72AF7E">
      <w:pPr>
        <w:pStyle w:val="5"/>
        <w:numPr>
          <w:ilvl w:val="0"/>
          <w:numId w:val="0"/>
        </w:numPr>
        <w:spacing w:line="360" w:lineRule="auto"/>
        <w:ind w:leftChars="0"/>
        <w:rPr>
          <w:rFonts w:hint="eastAsia" w:ascii="新宋体" w:hAnsi="新宋体" w:eastAsia="新宋体" w:cs="Calibri"/>
          <w:color w:val="000000"/>
          <w:kern w:val="2"/>
          <w:sz w:val="24"/>
          <w:szCs w:val="21"/>
          <w:lang w:val="en-US" w:eastAsia="zh-CN" w:bidi="ar-SA"/>
        </w:rPr>
      </w:pPr>
      <w:r>
        <w:rPr>
          <w:rFonts w:hint="eastAsia" w:ascii="新宋体" w:hAnsi="新宋体" w:eastAsia="新宋体" w:cs="Calibri"/>
          <w:color w:val="000000"/>
          <w:kern w:val="2"/>
          <w:sz w:val="24"/>
          <w:szCs w:val="21"/>
          <w:lang w:val="en-US" w:eastAsia="zh-CN" w:bidi="ar-SA"/>
        </w:rPr>
        <w:t>4.网络适配调试：完成IP调试、局域网互通、共享文件夹访问、打印机扫描等外设适配、内网业务系统登录测试。</w:t>
      </w:r>
    </w:p>
    <w:p w14:paraId="756513FD">
      <w:pPr>
        <w:pStyle w:val="5"/>
        <w:numPr>
          <w:ilvl w:val="0"/>
          <w:numId w:val="0"/>
        </w:numPr>
        <w:spacing w:line="360" w:lineRule="auto"/>
        <w:ind w:leftChars="0"/>
        <w:rPr>
          <w:rFonts w:hint="eastAsia" w:ascii="新宋体" w:hAnsi="新宋体" w:eastAsia="新宋体" w:cs="Calibri"/>
          <w:color w:val="000000"/>
          <w:kern w:val="2"/>
          <w:sz w:val="24"/>
          <w:szCs w:val="21"/>
          <w:lang w:val="en-US" w:eastAsia="zh-CN" w:bidi="ar-SA"/>
        </w:rPr>
      </w:pPr>
      <w:r>
        <w:rPr>
          <w:rFonts w:hint="eastAsia" w:ascii="新宋体" w:hAnsi="新宋体" w:eastAsia="新宋体" w:cs="Calibri"/>
          <w:color w:val="000000"/>
          <w:kern w:val="2"/>
          <w:sz w:val="24"/>
          <w:szCs w:val="21"/>
          <w:lang w:val="en-US" w:eastAsia="zh-CN" w:bidi="ar-SA"/>
        </w:rPr>
        <w:t>5.现场试运行：设备部署完成后现场试运行测试，确保开机正常、联网正常、办公软件正常、业务系统正常、无报错弹窗。</w:t>
      </w:r>
    </w:p>
    <w:p w14:paraId="092F324C">
      <w:pPr>
        <w:pStyle w:val="6"/>
        <w:spacing w:line="360" w:lineRule="auto"/>
        <w:ind w:left="0" w:leftChars="0" w:firstLine="0" w:firstLineChars="0"/>
        <w:rPr>
          <w:rFonts w:hint="eastAsia" w:ascii="新宋体" w:hAnsi="新宋体" w:eastAsia="新宋体" w:cs="Calibri"/>
          <w:color w:val="000000"/>
          <w:kern w:val="2"/>
          <w:sz w:val="24"/>
          <w:szCs w:val="21"/>
          <w:lang w:val="en-US" w:eastAsia="zh-CN" w:bidi="ar-SA"/>
        </w:rPr>
      </w:pPr>
      <w:r>
        <w:rPr>
          <w:rFonts w:hint="eastAsia" w:ascii="新宋体" w:hAnsi="新宋体" w:eastAsia="新宋体"/>
          <w:color w:val="000000"/>
          <w:sz w:val="24"/>
          <w:lang w:val="en-US" w:eastAsia="zh-CN"/>
        </w:rPr>
        <w:t>6、要求免费提供安装46套信创版本还原软件，功能类似于还原精灵，能实现重启后恢复到初始状态，安装位置由甲方指定。</w:t>
      </w:r>
    </w:p>
    <w:p w14:paraId="64F3BE34">
      <w:pPr>
        <w:pStyle w:val="5"/>
        <w:numPr>
          <w:ilvl w:val="0"/>
          <w:numId w:val="0"/>
        </w:numPr>
        <w:spacing w:line="360" w:lineRule="auto"/>
        <w:ind w:leftChars="0"/>
        <w:rPr>
          <w:rFonts w:ascii="新宋体" w:hAnsi="新宋体" w:eastAsia="新宋体"/>
          <w:b/>
          <w:bCs/>
          <w:color w:val="000000"/>
          <w:sz w:val="24"/>
        </w:rPr>
      </w:pPr>
      <w:r>
        <w:rPr>
          <w:rFonts w:hint="eastAsia" w:ascii="新宋体" w:hAnsi="新宋体" w:eastAsia="新宋体"/>
          <w:b/>
          <w:bCs/>
          <w:color w:val="000000"/>
          <w:sz w:val="24"/>
          <w:lang w:eastAsia="zh-CN"/>
        </w:rPr>
        <w:t>（二）</w:t>
      </w:r>
      <w:r>
        <w:rPr>
          <w:rFonts w:hint="eastAsia" w:ascii="新宋体" w:hAnsi="新宋体" w:eastAsia="新宋体"/>
          <w:b/>
          <w:bCs/>
          <w:color w:val="000000"/>
          <w:sz w:val="24"/>
        </w:rPr>
        <w:t>质量保证</w:t>
      </w:r>
    </w:p>
    <w:p w14:paraId="6E010BAB">
      <w:pPr>
        <w:pStyle w:val="6"/>
        <w:spacing w:line="360" w:lineRule="auto"/>
        <w:ind w:firstLine="480"/>
        <w:rPr>
          <w:rFonts w:hint="eastAsia" w:ascii="新宋体" w:hAnsi="新宋体" w:eastAsia="新宋体"/>
          <w:color w:val="000000"/>
          <w:sz w:val="24"/>
          <w:lang w:eastAsia="zh-CN"/>
        </w:rPr>
      </w:pPr>
      <w:r>
        <w:rPr>
          <w:rFonts w:hint="eastAsia" w:ascii="新宋体" w:hAnsi="新宋体" w:eastAsia="新宋体"/>
          <w:color w:val="000000"/>
          <w:sz w:val="24"/>
        </w:rPr>
        <w:t>1</w:t>
      </w:r>
      <w:r>
        <w:rPr>
          <w:rFonts w:ascii="新宋体" w:hAnsi="新宋体" w:eastAsia="新宋体"/>
          <w:color w:val="000000"/>
          <w:sz w:val="24"/>
        </w:rPr>
        <w:t>.</w:t>
      </w:r>
      <w:r>
        <w:rPr>
          <w:rFonts w:hint="eastAsia" w:ascii="新宋体" w:hAnsi="新宋体" w:eastAsia="新宋体"/>
          <w:color w:val="000000"/>
          <w:sz w:val="24"/>
        </w:rPr>
        <w:t>乙方应按采购文件规定的货物性能、技术要求、质量标准向甲方提供未经使用的全新产品。</w:t>
      </w:r>
      <w:r>
        <w:rPr>
          <w:rFonts w:hint="eastAsia" w:ascii="新宋体" w:hAnsi="新宋体" w:eastAsia="新宋体"/>
          <w:color w:val="000000"/>
          <w:sz w:val="24"/>
          <w:lang w:eastAsia="zh-CN"/>
        </w:rPr>
        <w:t>乙方必须保证所提供的货物是符合信创要求的，否则赔偿甲方全部货物三倍的货款。</w:t>
      </w:r>
    </w:p>
    <w:p w14:paraId="3BE31997">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2</w:t>
      </w:r>
      <w:r>
        <w:rPr>
          <w:rFonts w:ascii="新宋体" w:hAnsi="新宋体" w:eastAsia="新宋体"/>
          <w:color w:val="000000"/>
          <w:sz w:val="24"/>
        </w:rPr>
        <w:t>.</w:t>
      </w:r>
      <w:r>
        <w:rPr>
          <w:rFonts w:hint="eastAsia" w:ascii="新宋体" w:hAnsi="新宋体" w:eastAsia="新宋体"/>
          <w:color w:val="000000"/>
          <w:sz w:val="24"/>
        </w:rPr>
        <w:t>乙方提供的所有货物保证提供三年</w:t>
      </w:r>
      <w:r>
        <w:rPr>
          <w:rFonts w:hint="eastAsia" w:ascii="新宋体" w:hAnsi="新宋体" w:eastAsia="新宋体"/>
          <w:color w:val="000000"/>
          <w:sz w:val="24"/>
          <w:lang w:eastAsia="zh-CN"/>
        </w:rPr>
        <w:t>免费上门</w:t>
      </w:r>
      <w:r>
        <w:rPr>
          <w:rFonts w:hint="eastAsia" w:ascii="新宋体" w:hAnsi="新宋体" w:eastAsia="新宋体"/>
          <w:color w:val="000000"/>
          <w:sz w:val="24"/>
        </w:rPr>
        <w:t>质保和技术服务（从验收合格之日起计算）。</w:t>
      </w:r>
    </w:p>
    <w:p w14:paraId="1A4CBCA3">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3</w:t>
      </w:r>
      <w:r>
        <w:rPr>
          <w:rFonts w:ascii="新宋体" w:hAnsi="新宋体" w:eastAsia="新宋体"/>
          <w:color w:val="000000"/>
          <w:sz w:val="24"/>
        </w:rPr>
        <w:t>.</w:t>
      </w:r>
      <w:r>
        <w:rPr>
          <w:rFonts w:hint="eastAsia" w:ascii="新宋体" w:hAnsi="新宋体" w:eastAsia="新宋体"/>
          <w:color w:val="000000"/>
          <w:sz w:val="24"/>
        </w:rPr>
        <w:t>在质保期内因货物或安装调试服务的质量问题而发生故障，乙方应负责免费维修和更新零部件（超过质保期后，更换零部件只收取成本费）。对达不到技术要求的，根据实际情况，经双方协商，按技术要求进行更换处理，所发生的全部费用由乙方承担。</w:t>
      </w:r>
    </w:p>
    <w:p w14:paraId="0B711439">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4</w:t>
      </w:r>
      <w:r>
        <w:rPr>
          <w:rFonts w:ascii="新宋体" w:hAnsi="新宋体" w:eastAsia="新宋体"/>
          <w:color w:val="000000"/>
          <w:sz w:val="24"/>
        </w:rPr>
        <w:t>.</w:t>
      </w:r>
      <w:r>
        <w:rPr>
          <w:rFonts w:hint="eastAsia" w:ascii="新宋体" w:hAnsi="新宋体" w:eastAsia="新宋体"/>
          <w:color w:val="000000"/>
          <w:sz w:val="24"/>
        </w:rPr>
        <w:t>乙方在维修和更新时使用的零部件应为原厂配件，未经甲方同意不得使用非原厂配件。</w:t>
      </w:r>
    </w:p>
    <w:p w14:paraId="008C7D5E">
      <w:pPr>
        <w:pStyle w:val="6"/>
        <w:spacing w:line="360" w:lineRule="auto"/>
        <w:ind w:firstLine="480"/>
        <w:rPr>
          <w:rFonts w:hint="eastAsia" w:ascii="新宋体" w:hAnsi="新宋体" w:eastAsia="新宋体"/>
          <w:color w:val="000000"/>
          <w:sz w:val="24"/>
        </w:rPr>
      </w:pPr>
      <w:r>
        <w:rPr>
          <w:rFonts w:hint="eastAsia" w:ascii="新宋体" w:hAnsi="新宋体" w:eastAsia="新宋体"/>
          <w:color w:val="000000"/>
          <w:sz w:val="24"/>
        </w:rPr>
        <w:t>5</w:t>
      </w:r>
      <w:r>
        <w:rPr>
          <w:rFonts w:ascii="新宋体" w:hAnsi="新宋体" w:eastAsia="新宋体"/>
          <w:color w:val="000000"/>
          <w:sz w:val="24"/>
        </w:rPr>
        <w:t>.</w:t>
      </w:r>
      <w:r>
        <w:rPr>
          <w:rFonts w:hint="eastAsia" w:ascii="新宋体" w:hAnsi="新宋体" w:eastAsia="新宋体"/>
          <w:color w:val="000000"/>
          <w:sz w:val="24"/>
        </w:rPr>
        <w:t>在质保期内，乙方应对货物出现的质量及安全等问题负责处理解决并承担一切费用。</w:t>
      </w:r>
    </w:p>
    <w:p w14:paraId="0412B55B">
      <w:pPr>
        <w:pStyle w:val="6"/>
        <w:numPr>
          <w:ilvl w:val="0"/>
          <w:numId w:val="0"/>
        </w:numPr>
        <w:spacing w:line="360" w:lineRule="auto"/>
        <w:ind w:leftChars="0"/>
        <w:rPr>
          <w:rFonts w:ascii="新宋体" w:hAnsi="新宋体" w:eastAsia="新宋体"/>
          <w:b/>
          <w:color w:val="000000"/>
          <w:sz w:val="24"/>
        </w:rPr>
      </w:pPr>
      <w:r>
        <w:rPr>
          <w:rFonts w:hint="eastAsia" w:ascii="新宋体" w:hAnsi="新宋体" w:eastAsia="新宋体"/>
          <w:b/>
          <w:color w:val="000000"/>
          <w:sz w:val="24"/>
          <w:lang w:eastAsia="zh-CN"/>
        </w:rPr>
        <w:t>（三）</w:t>
      </w:r>
      <w:r>
        <w:rPr>
          <w:rFonts w:hint="eastAsia" w:ascii="新宋体" w:hAnsi="新宋体" w:eastAsia="新宋体"/>
          <w:b/>
          <w:color w:val="000000"/>
          <w:sz w:val="24"/>
        </w:rPr>
        <w:t>售后服务</w:t>
      </w:r>
    </w:p>
    <w:p w14:paraId="02AFEA6B">
      <w:pPr>
        <w:pStyle w:val="6"/>
        <w:numPr>
          <w:ilvl w:val="0"/>
          <w:numId w:val="4"/>
        </w:numPr>
        <w:spacing w:line="360" w:lineRule="auto"/>
        <w:ind w:firstLineChars="0"/>
        <w:rPr>
          <w:rFonts w:ascii="新宋体" w:hAnsi="新宋体" w:eastAsia="新宋体"/>
          <w:color w:val="000000"/>
          <w:sz w:val="24"/>
        </w:rPr>
      </w:pPr>
      <w:r>
        <w:rPr>
          <w:rFonts w:hint="eastAsia" w:ascii="新宋体" w:hAnsi="新宋体" w:eastAsia="新宋体"/>
          <w:color w:val="000000"/>
          <w:sz w:val="24"/>
        </w:rPr>
        <w:t>质保期内服务措施</w:t>
      </w:r>
    </w:p>
    <w:p w14:paraId="5C5F1BFE">
      <w:pPr>
        <w:pStyle w:val="6"/>
        <w:numPr>
          <w:ilvl w:val="0"/>
          <w:numId w:val="5"/>
        </w:numPr>
        <w:spacing w:line="360" w:lineRule="auto"/>
        <w:ind w:firstLineChars="0"/>
        <w:rPr>
          <w:rFonts w:ascii="新宋体" w:hAnsi="新宋体" w:eastAsia="新宋体"/>
          <w:color w:val="000000"/>
          <w:sz w:val="24"/>
        </w:rPr>
      </w:pPr>
      <w:r>
        <w:rPr>
          <w:rFonts w:hint="eastAsia" w:ascii="新宋体" w:hAnsi="新宋体" w:eastAsia="新宋体"/>
          <w:color w:val="000000"/>
          <w:sz w:val="24"/>
          <w:lang w:eastAsia="zh-CN"/>
        </w:rPr>
        <w:t>验收完成后，乙方须提供一名驻场人员入驻集团进行终端及系统维护，食宿自理，时间不低于</w:t>
      </w:r>
      <w:r>
        <w:rPr>
          <w:rFonts w:hint="eastAsia" w:ascii="新宋体" w:hAnsi="新宋体" w:eastAsia="新宋体"/>
          <w:color w:val="000000"/>
          <w:sz w:val="24"/>
          <w:lang w:val="en-US" w:eastAsia="zh-CN"/>
        </w:rPr>
        <w:t>30个工作日。</w:t>
      </w:r>
    </w:p>
    <w:p w14:paraId="2E52071E">
      <w:pPr>
        <w:pStyle w:val="6"/>
        <w:numPr>
          <w:ilvl w:val="0"/>
          <w:numId w:val="5"/>
        </w:numPr>
        <w:spacing w:line="360" w:lineRule="auto"/>
        <w:ind w:firstLineChars="0"/>
        <w:rPr>
          <w:rFonts w:ascii="新宋体" w:hAnsi="新宋体" w:eastAsia="新宋体"/>
          <w:color w:val="000000"/>
          <w:sz w:val="24"/>
        </w:rPr>
      </w:pPr>
      <w:r>
        <w:rPr>
          <w:rFonts w:hint="eastAsia" w:ascii="新宋体" w:hAnsi="新宋体" w:eastAsia="新宋体"/>
          <w:color w:val="000000"/>
          <w:sz w:val="24"/>
          <w:lang w:val="en-US" w:eastAsia="zh-CN"/>
        </w:rPr>
        <w:t>驻场结束后，</w:t>
      </w:r>
      <w:r>
        <w:rPr>
          <w:rFonts w:hint="eastAsia" w:ascii="新宋体" w:hAnsi="新宋体" w:eastAsia="新宋体"/>
          <w:color w:val="000000"/>
          <w:sz w:val="24"/>
        </w:rPr>
        <w:t>甲方如遇到使用及技术问题，电话咨询不能解决的，乙方应在3</w:t>
      </w:r>
      <w:r>
        <w:rPr>
          <w:rFonts w:ascii="新宋体" w:hAnsi="新宋体" w:eastAsia="新宋体"/>
          <w:color w:val="000000"/>
          <w:sz w:val="24"/>
        </w:rPr>
        <w:t>小时提供上门服务，确保产品正常工作；无法12小时内解决的，应在</w:t>
      </w:r>
      <w:r>
        <w:rPr>
          <w:rFonts w:hint="eastAsia" w:ascii="新宋体" w:hAnsi="新宋体" w:eastAsia="新宋体"/>
          <w:color w:val="000000"/>
          <w:sz w:val="24"/>
        </w:rPr>
        <w:t>24</w:t>
      </w:r>
      <w:r>
        <w:rPr>
          <w:rFonts w:ascii="新宋体" w:hAnsi="新宋体" w:eastAsia="新宋体"/>
          <w:color w:val="000000"/>
          <w:sz w:val="24"/>
        </w:rPr>
        <w:t>小时内提供备用产品。</w:t>
      </w:r>
    </w:p>
    <w:p w14:paraId="06C9CEEC">
      <w:pPr>
        <w:pStyle w:val="6"/>
        <w:numPr>
          <w:ilvl w:val="0"/>
          <w:numId w:val="5"/>
        </w:numPr>
        <w:spacing w:line="360" w:lineRule="auto"/>
        <w:ind w:firstLineChars="0"/>
        <w:rPr>
          <w:rFonts w:ascii="宋体" w:hAnsi="宋体" w:cs="仿宋"/>
          <w:sz w:val="24"/>
        </w:rPr>
      </w:pPr>
      <w:r>
        <w:rPr>
          <w:rFonts w:hint="eastAsia" w:ascii="新宋体" w:hAnsi="新宋体" w:eastAsia="新宋体"/>
          <w:color w:val="000000"/>
          <w:sz w:val="24"/>
        </w:rPr>
        <w:t>在质保期内，如果供应商和厂家的产品技术升级，乙方应及时通知甲方，如甲方有相应要求，乙方应</w:t>
      </w:r>
      <w:r>
        <w:rPr>
          <w:rFonts w:hint="eastAsia" w:ascii="新宋体" w:hAnsi="新宋体" w:eastAsia="新宋体"/>
          <w:color w:val="000000"/>
          <w:sz w:val="24"/>
          <w:lang w:eastAsia="zh-CN"/>
        </w:rPr>
        <w:t>上门</w:t>
      </w:r>
      <w:r>
        <w:rPr>
          <w:rFonts w:hint="eastAsia" w:ascii="新宋体" w:hAnsi="新宋体" w:eastAsia="新宋体"/>
          <w:color w:val="000000"/>
          <w:sz w:val="24"/>
        </w:rPr>
        <w:t>提供免费系统升级和技术支持</w:t>
      </w:r>
      <w:r>
        <w:rPr>
          <w:rFonts w:hint="eastAsia" w:ascii="新宋体" w:hAnsi="新宋体" w:eastAsia="新宋体"/>
          <w:color w:val="000000"/>
          <w:sz w:val="24"/>
          <w:lang w:eastAsia="zh-CN"/>
        </w:rPr>
        <w:t>（包含但不限于操作系统版本升级）</w:t>
      </w:r>
      <w:r>
        <w:rPr>
          <w:rFonts w:hint="eastAsia" w:ascii="新宋体" w:hAnsi="新宋体" w:eastAsia="新宋体"/>
          <w:color w:val="000000"/>
          <w:sz w:val="24"/>
        </w:rPr>
        <w:t>。</w:t>
      </w:r>
    </w:p>
    <w:p w14:paraId="2A0F5F2E">
      <w:pPr>
        <w:pStyle w:val="6"/>
        <w:numPr>
          <w:ilvl w:val="0"/>
          <w:numId w:val="5"/>
        </w:numPr>
        <w:spacing w:line="360" w:lineRule="auto"/>
        <w:ind w:firstLineChars="0"/>
        <w:rPr>
          <w:rFonts w:ascii="新宋体" w:hAnsi="新宋体" w:eastAsia="新宋体"/>
          <w:color w:val="000000"/>
          <w:sz w:val="24"/>
        </w:rPr>
      </w:pPr>
      <w:r>
        <w:rPr>
          <w:rFonts w:hint="eastAsia" w:ascii="宋体" w:hAnsi="宋体" w:cs="仿宋"/>
          <w:sz w:val="24"/>
        </w:rPr>
        <w:t>乙方在质保期内上门配合甲方接受相关部门检查。</w:t>
      </w:r>
    </w:p>
    <w:p w14:paraId="313CBDDA">
      <w:pPr>
        <w:pStyle w:val="6"/>
        <w:numPr>
          <w:ilvl w:val="0"/>
          <w:numId w:val="4"/>
        </w:numPr>
        <w:spacing w:line="360" w:lineRule="auto"/>
        <w:ind w:firstLineChars="0"/>
        <w:rPr>
          <w:rFonts w:ascii="新宋体" w:hAnsi="新宋体" w:eastAsia="新宋体"/>
          <w:color w:val="000000"/>
          <w:sz w:val="24"/>
        </w:rPr>
      </w:pPr>
      <w:r>
        <w:rPr>
          <w:rFonts w:hint="eastAsia" w:ascii="新宋体" w:hAnsi="新宋体" w:eastAsia="新宋体"/>
          <w:color w:val="000000"/>
          <w:sz w:val="24"/>
        </w:rPr>
        <w:t>质保期后服务</w:t>
      </w:r>
    </w:p>
    <w:p w14:paraId="4EF48B41">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质量保证期过后，乙方应同样提供免费电话咨询服务，并提供产品上门维护服务。</w:t>
      </w:r>
    </w:p>
    <w:p w14:paraId="0A008612">
      <w:pPr>
        <w:pStyle w:val="6"/>
        <w:spacing w:line="360" w:lineRule="auto"/>
        <w:ind w:firstLine="0" w:firstLineChars="0"/>
        <w:rPr>
          <w:rFonts w:ascii="新宋体" w:hAnsi="新宋体" w:eastAsia="新宋体"/>
          <w:b/>
          <w:bCs/>
          <w:color w:val="000000"/>
          <w:sz w:val="24"/>
        </w:rPr>
      </w:pPr>
      <w:r>
        <w:rPr>
          <w:rFonts w:hint="eastAsia" w:ascii="新宋体" w:hAnsi="新宋体" w:eastAsia="新宋体"/>
          <w:b/>
          <w:bCs/>
          <w:color w:val="000000"/>
          <w:sz w:val="24"/>
        </w:rPr>
        <w:t>五、验收办法</w:t>
      </w:r>
    </w:p>
    <w:p w14:paraId="24099AFC">
      <w:pPr>
        <w:pStyle w:val="6"/>
        <w:numPr>
          <w:ilvl w:val="0"/>
          <w:numId w:val="6"/>
        </w:numPr>
        <w:spacing w:line="360" w:lineRule="auto"/>
        <w:ind w:firstLineChars="0"/>
        <w:rPr>
          <w:rFonts w:ascii="新宋体" w:hAnsi="新宋体" w:eastAsia="新宋体"/>
          <w:color w:val="000000"/>
          <w:sz w:val="24"/>
        </w:rPr>
      </w:pPr>
      <w:r>
        <w:rPr>
          <w:rFonts w:hint="eastAsia" w:ascii="新宋体" w:hAnsi="新宋体" w:eastAsia="新宋体"/>
          <w:b/>
          <w:color w:val="000000"/>
          <w:sz w:val="24"/>
        </w:rPr>
        <w:t>货物</w:t>
      </w:r>
      <w:r>
        <w:rPr>
          <w:rFonts w:hint="eastAsia" w:ascii="新宋体" w:hAnsi="新宋体" w:eastAsia="新宋体"/>
          <w:b/>
          <w:color w:val="000000"/>
          <w:sz w:val="24"/>
          <w:lang w:eastAsia="zh-CN"/>
        </w:rPr>
        <w:t>及项目实施</w:t>
      </w:r>
      <w:r>
        <w:rPr>
          <w:rFonts w:hint="eastAsia" w:ascii="新宋体" w:hAnsi="新宋体" w:eastAsia="新宋体"/>
          <w:b/>
          <w:color w:val="000000"/>
          <w:sz w:val="24"/>
        </w:rPr>
        <w:t>验收方法</w:t>
      </w:r>
    </w:p>
    <w:p w14:paraId="759A6C14">
      <w:pPr>
        <w:ind w:firstLine="480" w:firstLineChars="200"/>
        <w:rPr>
          <w:rFonts w:ascii="新宋体" w:hAnsi="新宋体" w:eastAsia="新宋体"/>
          <w:color w:val="000000"/>
          <w:sz w:val="24"/>
        </w:rPr>
      </w:pPr>
      <w:r>
        <w:rPr>
          <w:rFonts w:hint="eastAsia" w:ascii="新宋体" w:hAnsi="新宋体" w:eastAsia="新宋体"/>
          <w:color w:val="000000"/>
          <w:sz w:val="24"/>
        </w:rPr>
        <w:t>货物到达后，乙方需向甲方提交签收单由最终用户或甲方签字确认货物。在完成对货物安装调试后，由甲方对货物的质量、规格、数量及其他进行检验。如发现货物的质量、规格、数量与合同规定不符，甲方有权拒绝接受并向乙方提出索赔。</w:t>
      </w:r>
    </w:p>
    <w:p w14:paraId="0CD9D135">
      <w:pPr>
        <w:ind w:firstLine="480" w:firstLineChars="200"/>
        <w:rPr>
          <w:rFonts w:ascii="新宋体" w:hAnsi="新宋体" w:eastAsia="新宋体"/>
          <w:color w:val="000000"/>
          <w:sz w:val="24"/>
        </w:rPr>
      </w:pPr>
      <w:r>
        <w:rPr>
          <w:rFonts w:hint="eastAsia" w:ascii="新宋体" w:hAnsi="新宋体" w:eastAsia="新宋体"/>
          <w:color w:val="000000"/>
          <w:sz w:val="24"/>
        </w:rPr>
        <w:t>如货物的质量、规格在质保期内被证明存在缺陷，包括潜在的缺陷或使用不合格的材料，甲方有权向乙方提出索赔。</w:t>
      </w:r>
    </w:p>
    <w:p w14:paraId="48FBE0E9">
      <w:pPr>
        <w:ind w:firstLine="480" w:firstLineChars="200"/>
      </w:pPr>
      <w:r>
        <w:rPr>
          <w:rFonts w:hint="eastAsia" w:ascii="宋体" w:hAnsi="宋体" w:cs="仿宋"/>
          <w:sz w:val="24"/>
        </w:rPr>
        <w:t>乙方提供的设备为非原装正品时，乙方按合同采购总价的3倍向甲方进行赔偿。</w:t>
      </w:r>
    </w:p>
    <w:p w14:paraId="0B6C56C2">
      <w:pPr>
        <w:ind w:firstLine="480" w:firstLineChars="200"/>
        <w:rPr>
          <w:rFonts w:ascii="新宋体" w:hAnsi="新宋体" w:eastAsia="新宋体"/>
          <w:color w:val="000000"/>
          <w:sz w:val="24"/>
        </w:rPr>
      </w:pPr>
      <w:r>
        <w:rPr>
          <w:rFonts w:hint="eastAsia" w:ascii="新宋体" w:hAnsi="新宋体" w:eastAsia="新宋体"/>
          <w:color w:val="000000"/>
          <w:sz w:val="24"/>
        </w:rPr>
        <w:t>所有项目实施服务，均由甲方验收合格后，乙方出具项目验收单交甲方项目经理或最终用户再签字确认。</w:t>
      </w:r>
    </w:p>
    <w:p w14:paraId="51A23E0B">
      <w:pPr>
        <w:pStyle w:val="5"/>
        <w:spacing w:line="360" w:lineRule="auto"/>
        <w:ind w:firstLine="0" w:firstLineChars="0"/>
        <w:rPr>
          <w:rFonts w:ascii="新宋体" w:hAnsi="新宋体" w:eastAsia="新宋体"/>
          <w:color w:val="000000"/>
          <w:sz w:val="24"/>
        </w:rPr>
      </w:pPr>
      <w:r>
        <w:rPr>
          <w:rFonts w:hint="eastAsia" w:ascii="新宋体" w:hAnsi="新宋体" w:eastAsia="新宋体"/>
          <w:b/>
          <w:bCs/>
          <w:color w:val="000000"/>
          <w:sz w:val="24"/>
        </w:rPr>
        <w:t>六、合同终止与违约责任</w:t>
      </w:r>
    </w:p>
    <w:p w14:paraId="61940CDA">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（一）乙方所交货物和安装调试服务不符合规定或</w:t>
      </w:r>
      <w:r>
        <w:rPr>
          <w:rFonts w:ascii="新宋体" w:hAnsi="新宋体" w:eastAsia="新宋体" w:cs="宋体"/>
          <w:color w:val="000000"/>
          <w:sz w:val="24"/>
        </w:rPr>
        <w:t>约定</w:t>
      </w:r>
      <w:r>
        <w:rPr>
          <w:rFonts w:hint="eastAsia" w:ascii="新宋体" w:hAnsi="新宋体" w:eastAsia="新宋体"/>
          <w:color w:val="000000"/>
          <w:sz w:val="24"/>
        </w:rPr>
        <w:t>标准的，甲方有权拒收，对甲方造成损失的，乙方应向甲方赔偿损失。</w:t>
      </w:r>
    </w:p>
    <w:p w14:paraId="19D27CB7">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（二）乙方未按照本合同约定的时间交付货物和安装调试服务，</w:t>
      </w:r>
      <w:r>
        <w:rPr>
          <w:rFonts w:ascii="新宋体" w:hAnsi="新宋体" w:eastAsia="新宋体"/>
          <w:color w:val="000000"/>
          <w:sz w:val="24"/>
        </w:rPr>
        <w:t>若延期</w:t>
      </w:r>
      <w:r>
        <w:rPr>
          <w:rFonts w:hint="eastAsia" w:ascii="新宋体" w:hAnsi="新宋体" w:eastAsia="新宋体"/>
          <w:color w:val="000000"/>
          <w:sz w:val="24"/>
          <w:lang w:eastAsia="zh-CN"/>
        </w:rPr>
        <w:t>完成本项目</w:t>
      </w:r>
      <w:r>
        <w:rPr>
          <w:rFonts w:ascii="新宋体" w:hAnsi="新宋体" w:eastAsia="新宋体"/>
          <w:color w:val="000000"/>
          <w:sz w:val="24"/>
        </w:rPr>
        <w:t>，甲方有权终止本合同，并</w:t>
      </w:r>
      <w:r>
        <w:rPr>
          <w:rFonts w:hint="eastAsia" w:ascii="新宋体" w:hAnsi="新宋体" w:eastAsia="新宋体"/>
          <w:color w:val="000000"/>
          <w:sz w:val="24"/>
          <w:lang w:eastAsia="zh-CN"/>
        </w:rPr>
        <w:t>没收履约保证金</w:t>
      </w:r>
      <w:r>
        <w:rPr>
          <w:rFonts w:hint="eastAsia" w:ascii="新宋体" w:hAnsi="新宋体" w:eastAsia="新宋体"/>
          <w:color w:val="000000"/>
          <w:sz w:val="24"/>
        </w:rPr>
        <w:t>，并另行向甲方承担损失。</w:t>
      </w:r>
    </w:p>
    <w:p w14:paraId="4F5FC5EC">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w:t>
      </w:r>
      <w:r>
        <w:rPr>
          <w:rFonts w:hint="eastAsia" w:ascii="新宋体" w:hAnsi="新宋体" w:eastAsia="新宋体"/>
          <w:color w:val="000000"/>
          <w:sz w:val="24"/>
          <w:lang w:eastAsia="zh-CN"/>
        </w:rPr>
        <w:t>三</w:t>
      </w:r>
      <w:r>
        <w:rPr>
          <w:rFonts w:hint="eastAsia" w:ascii="新宋体" w:hAnsi="新宋体" w:eastAsia="新宋体"/>
          <w:color w:val="000000"/>
          <w:sz w:val="24"/>
        </w:rPr>
        <w:t>）乙方不履行售后服务的有关义务，对甲方造成损失的，乙方应向甲方赔偿损失。</w:t>
      </w:r>
    </w:p>
    <w:p w14:paraId="1323878E">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五）因乙方原因或提供的产品存在质量问题、设计缺陷等问题对给甲方、甲方人员或第三方造成经济损失和人身损害的，乙方承担全部赔偿责任，同时向甲方返还已收款项，并向甲方支付合同约定总额30%的违约金。甲方有权单方面解除本合同，并追究相关责任。</w:t>
      </w:r>
    </w:p>
    <w:p w14:paraId="1C777943">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(六)乙方在安装、调试、维保等服务过程中，所产生的人身或财产安全和安全事故均由乙方承担，与甲方无关。给甲方人员或设备造成损害的乙方应当负赔偿责任。</w:t>
      </w:r>
    </w:p>
    <w:p w14:paraId="10C701BE">
      <w:pPr>
        <w:pStyle w:val="5"/>
        <w:spacing w:line="360" w:lineRule="auto"/>
        <w:ind w:firstLine="0" w:firstLineChars="0"/>
        <w:rPr>
          <w:rFonts w:ascii="新宋体" w:hAnsi="新宋体" w:eastAsia="新宋体"/>
          <w:b/>
          <w:color w:val="000000"/>
          <w:sz w:val="24"/>
        </w:rPr>
      </w:pPr>
      <w:r>
        <w:rPr>
          <w:rFonts w:hint="eastAsia" w:ascii="新宋体" w:hAnsi="新宋体" w:eastAsia="新宋体"/>
          <w:b/>
          <w:color w:val="000000"/>
          <w:sz w:val="24"/>
        </w:rPr>
        <w:t>七、知识产权</w:t>
      </w:r>
    </w:p>
    <w:p w14:paraId="42561B44">
      <w:pPr>
        <w:pStyle w:val="5"/>
        <w:numPr>
          <w:ilvl w:val="0"/>
          <w:numId w:val="7"/>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合同双方对在签订和履行本合同过程中从任何一方获知的对方的技术和商业秘密，无论在本合同期限内还是合同终止后，均应共同遵守《中华人民共和国反不正当竞争法》及国家有关版权、专利、商标等知识产权等方面的法律法规的规定，相互尊重对方的知识产权，对所知悉的对方的技术秘密和商业秘密负有保密责任。未经一方事先书面授权，任一方不得以任何方式向任何其他组织或个人泄露、转让、许可使用、交换、赠与或与任何其他组织或个人共同使用或不正当使用。违反本条规定，给对方造成损失的，违约方应承担相应的法律责任。</w:t>
      </w:r>
    </w:p>
    <w:p w14:paraId="73AA82DD">
      <w:pPr>
        <w:pStyle w:val="5"/>
        <w:numPr>
          <w:ilvl w:val="0"/>
          <w:numId w:val="7"/>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乙方应保证所提供的软硬件或其任何一部分均不会侵犯任何第三方的知识产权，如若出现侵权行为，由乙方负全部责任。</w:t>
      </w:r>
    </w:p>
    <w:p w14:paraId="01742301">
      <w:pPr>
        <w:pStyle w:val="5"/>
        <w:spacing w:line="400" w:lineRule="exact"/>
        <w:ind w:firstLine="0" w:firstLineChars="0"/>
        <w:rPr>
          <w:rFonts w:hint="eastAsia" w:ascii="新宋体" w:hAnsi="新宋体" w:eastAsia="新宋体"/>
          <w:b/>
          <w:color w:val="000000"/>
          <w:sz w:val="24"/>
        </w:rPr>
      </w:pPr>
      <w:r>
        <w:rPr>
          <w:rFonts w:hint="eastAsia" w:ascii="新宋体" w:hAnsi="新宋体" w:eastAsia="新宋体"/>
          <w:b/>
          <w:color w:val="000000"/>
          <w:sz w:val="24"/>
        </w:rPr>
        <w:t>八、保密条款</w:t>
      </w:r>
    </w:p>
    <w:p w14:paraId="668B8ACA">
      <w:pPr>
        <w:pStyle w:val="5"/>
        <w:numPr>
          <w:ilvl w:val="0"/>
          <w:numId w:val="0"/>
        </w:numPr>
        <w:spacing w:line="400" w:lineRule="exact"/>
        <w:ind w:leftChars="0"/>
        <w:rPr>
          <w:rFonts w:hint="eastAsia" w:ascii="新宋体" w:hAnsi="新宋体" w:eastAsia="新宋体"/>
          <w:color w:val="000000"/>
          <w:sz w:val="24"/>
        </w:rPr>
      </w:pPr>
      <w:r>
        <w:rPr>
          <w:rFonts w:hint="eastAsia" w:ascii="新宋体" w:hAnsi="新宋体" w:eastAsia="新宋体"/>
          <w:color w:val="000000"/>
          <w:sz w:val="24"/>
        </w:rPr>
        <w:t>(一)乙方在服务期间应遵守甲方制定的以各种形式存在的保密规章制度，履行相应的保密职责。</w:t>
      </w:r>
    </w:p>
    <w:p w14:paraId="30A5293D">
      <w:pPr>
        <w:pStyle w:val="5"/>
        <w:numPr>
          <w:ilvl w:val="0"/>
          <w:numId w:val="0"/>
        </w:numPr>
        <w:spacing w:line="400" w:lineRule="exact"/>
        <w:ind w:leftChars="0"/>
        <w:rPr>
          <w:rFonts w:hint="eastAsia" w:ascii="新宋体" w:hAnsi="新宋体" w:eastAsia="新宋体"/>
          <w:color w:val="000000"/>
          <w:sz w:val="24"/>
        </w:rPr>
      </w:pPr>
      <w:r>
        <w:rPr>
          <w:rFonts w:hint="eastAsia" w:ascii="新宋体" w:hAnsi="新宋体" w:eastAsia="新宋体"/>
          <w:color w:val="000000"/>
          <w:sz w:val="24"/>
        </w:rPr>
        <w:t>(二)因工作需要接触或使用甲方的商业秘密，应按照甲方要求的范围和程度使用。乙方绝不为其他目的而使用甲方的商业秘密，更不得利用甲方商业秘密为与甲方有竞争关系的单位或个人工作、提供帮助或通过任何途径泄漏给任何第三方，包括不应知悉该商业秘密的甲方其他员工。</w:t>
      </w:r>
    </w:p>
    <w:p w14:paraId="71300D34">
      <w:pPr>
        <w:pStyle w:val="5"/>
        <w:numPr>
          <w:ilvl w:val="0"/>
          <w:numId w:val="0"/>
        </w:numPr>
        <w:spacing w:line="400" w:lineRule="exact"/>
        <w:ind w:leftChars="0"/>
        <w:rPr>
          <w:rFonts w:hint="eastAsia" w:ascii="新宋体" w:hAnsi="新宋体" w:eastAsia="新宋体"/>
          <w:color w:val="000000"/>
          <w:sz w:val="24"/>
        </w:rPr>
      </w:pPr>
      <w:r>
        <w:rPr>
          <w:rFonts w:hint="eastAsia" w:ascii="新宋体" w:hAnsi="新宋体" w:eastAsia="新宋体"/>
          <w:color w:val="000000"/>
          <w:sz w:val="24"/>
        </w:rPr>
        <w:t>(三)乙方应对有关人员进行保密审查、保密教育和管理，确保其严格遵守国家法律及甲方或甲方客户的保密规章制度，确保其以后离职（离岗、退休、辞职）或出国（境）也要按照本协议要求恪守保密职责。</w:t>
      </w:r>
    </w:p>
    <w:p w14:paraId="5CAB24B9">
      <w:pPr>
        <w:pStyle w:val="5"/>
        <w:numPr>
          <w:ilvl w:val="0"/>
          <w:numId w:val="0"/>
        </w:numPr>
        <w:spacing w:line="400" w:lineRule="exact"/>
        <w:ind w:leftChars="0"/>
        <w:rPr>
          <w:rFonts w:hint="eastAsia" w:ascii="新宋体" w:hAnsi="新宋体" w:eastAsia="新宋体"/>
          <w:color w:val="000000"/>
          <w:sz w:val="24"/>
        </w:rPr>
      </w:pPr>
      <w:r>
        <w:rPr>
          <w:rFonts w:hint="eastAsia" w:ascii="新宋体" w:hAnsi="新宋体" w:eastAsia="新宋体"/>
          <w:color w:val="000000"/>
          <w:sz w:val="24"/>
        </w:rPr>
        <w:t>(四)乙方亦应本着谨慎、诚实的态度，采取任何必要、合理的措施，维护其知悉或者持有的甲方秘密。</w:t>
      </w:r>
    </w:p>
    <w:p w14:paraId="1571032B">
      <w:pPr>
        <w:pStyle w:val="5"/>
        <w:numPr>
          <w:ilvl w:val="0"/>
          <w:numId w:val="0"/>
        </w:numPr>
        <w:spacing w:line="400" w:lineRule="exact"/>
        <w:ind w:leftChars="0"/>
        <w:rPr>
          <w:rFonts w:hint="eastAsia" w:ascii="新宋体" w:hAnsi="新宋体" w:eastAsia="新宋体"/>
          <w:color w:val="000000"/>
          <w:sz w:val="24"/>
        </w:rPr>
      </w:pPr>
      <w:r>
        <w:rPr>
          <w:rFonts w:hint="eastAsia" w:ascii="新宋体" w:hAnsi="新宋体" w:eastAsia="新宋体"/>
          <w:color w:val="000000"/>
          <w:sz w:val="24"/>
        </w:rPr>
        <w:t>(五)乙方确保不利用互联网传递涉密信息，不利用非密通讯工具传递和谈论涉密内容等信息，不通过普通邮政渠道传送涉密资料。</w:t>
      </w:r>
    </w:p>
    <w:p w14:paraId="5E5425E1">
      <w:pPr>
        <w:pStyle w:val="5"/>
        <w:numPr>
          <w:ilvl w:val="0"/>
          <w:numId w:val="0"/>
        </w:numPr>
        <w:spacing w:line="400" w:lineRule="exact"/>
        <w:ind w:leftChars="0"/>
        <w:rPr>
          <w:rFonts w:hint="eastAsia" w:ascii="新宋体" w:hAnsi="新宋体" w:eastAsia="新宋体"/>
          <w:color w:val="000000"/>
          <w:sz w:val="24"/>
        </w:rPr>
      </w:pPr>
      <w:r>
        <w:rPr>
          <w:rFonts w:hint="eastAsia" w:ascii="新宋体" w:hAnsi="新宋体" w:eastAsia="新宋体"/>
          <w:color w:val="000000"/>
          <w:sz w:val="24"/>
        </w:rPr>
        <w:t>(六)乙方与甲方服务关系终止后，仍有义务为甲方保守商业秘密，不得将其泄漏给任何三方，未经甲方同意，不得利用甲方商业秘密进行生产和经营，或进行新的创作、研究和开发，直到这些信息在本行业中成为公知性信息为止。</w:t>
      </w:r>
    </w:p>
    <w:p w14:paraId="2A83CBF7">
      <w:pPr>
        <w:pStyle w:val="5"/>
        <w:numPr>
          <w:ilvl w:val="0"/>
          <w:numId w:val="0"/>
        </w:numPr>
        <w:spacing w:line="400" w:lineRule="exact"/>
        <w:ind w:leftChars="0"/>
        <w:rPr>
          <w:rFonts w:ascii="新宋体" w:hAnsi="新宋体" w:eastAsia="新宋体"/>
          <w:color w:val="000000"/>
          <w:sz w:val="24"/>
        </w:rPr>
      </w:pPr>
      <w:r>
        <w:rPr>
          <w:rFonts w:hint="eastAsia" w:ascii="新宋体" w:hAnsi="新宋体" w:eastAsia="新宋体"/>
          <w:color w:val="000000"/>
          <w:sz w:val="24"/>
        </w:rPr>
        <w:t>(七)当发现甲方的商业秘密被非法使用或泄漏时，乙方有义务通知甲方并采取合理措施。</w:t>
      </w:r>
    </w:p>
    <w:p w14:paraId="2A10704B">
      <w:pPr>
        <w:pStyle w:val="5"/>
        <w:spacing w:line="400" w:lineRule="exact"/>
        <w:ind w:firstLine="0" w:firstLineChars="0"/>
        <w:rPr>
          <w:rFonts w:ascii="新宋体" w:hAnsi="新宋体" w:eastAsia="新宋体"/>
          <w:b/>
          <w:color w:val="000000"/>
          <w:sz w:val="24"/>
        </w:rPr>
      </w:pPr>
      <w:r>
        <w:rPr>
          <w:rFonts w:hint="eastAsia" w:ascii="新宋体" w:hAnsi="新宋体" w:eastAsia="新宋体"/>
          <w:b/>
          <w:color w:val="000000"/>
          <w:sz w:val="24"/>
        </w:rPr>
        <w:t>九、合同争议的解决</w:t>
      </w:r>
    </w:p>
    <w:p w14:paraId="65E5E645">
      <w:pPr>
        <w:spacing w:line="400" w:lineRule="exact"/>
        <w:ind w:firstLine="480" w:firstLineChars="200"/>
        <w:rPr>
          <w:rFonts w:ascii="新宋体" w:hAnsi="新宋体" w:eastAsia="新宋体"/>
          <w:b/>
          <w:color w:val="000000"/>
          <w:sz w:val="24"/>
        </w:rPr>
      </w:pPr>
      <w:r>
        <w:rPr>
          <w:rFonts w:hint="eastAsia" w:ascii="新宋体" w:hAnsi="新宋体" w:eastAsia="新宋体"/>
          <w:color w:val="000000"/>
          <w:sz w:val="24"/>
        </w:rPr>
        <w:t>凡有关本合同或执行本合同发生的一切争执，应经过友好协商解决；若不能解决，则提交甲方所在地有管辖权的法院提起诉讼。</w:t>
      </w:r>
    </w:p>
    <w:p w14:paraId="2BE8A13F">
      <w:pPr>
        <w:pStyle w:val="5"/>
        <w:spacing w:line="400" w:lineRule="exact"/>
        <w:ind w:firstLine="0" w:firstLineChars="0"/>
        <w:rPr>
          <w:rFonts w:ascii="新宋体" w:hAnsi="新宋体" w:eastAsia="新宋体"/>
          <w:b/>
          <w:color w:val="000000"/>
          <w:sz w:val="24"/>
        </w:rPr>
      </w:pPr>
      <w:r>
        <w:rPr>
          <w:rFonts w:hint="eastAsia" w:ascii="新宋体" w:hAnsi="新宋体" w:eastAsia="新宋体"/>
          <w:b/>
          <w:bCs/>
          <w:color w:val="000000"/>
          <w:sz w:val="24"/>
        </w:rPr>
        <w:t>十</w:t>
      </w:r>
      <w:r>
        <w:rPr>
          <w:rFonts w:hint="eastAsia" w:ascii="新宋体" w:hAnsi="新宋体" w:eastAsia="新宋体"/>
          <w:b/>
          <w:color w:val="000000"/>
          <w:sz w:val="24"/>
        </w:rPr>
        <w:t>、附则</w:t>
      </w:r>
    </w:p>
    <w:p w14:paraId="5107554F">
      <w:pPr>
        <w:spacing w:line="400" w:lineRule="exact"/>
        <w:ind w:firstLine="480" w:firstLineChars="200"/>
        <w:rPr>
          <w:rFonts w:ascii="新宋体" w:hAnsi="新宋体" w:eastAsia="新宋体"/>
          <w:color w:val="000000"/>
          <w:sz w:val="24"/>
        </w:rPr>
      </w:pPr>
      <w:r>
        <w:rPr>
          <w:rFonts w:hint="eastAsia" w:ascii="新宋体" w:hAnsi="新宋体" w:eastAsia="新宋体"/>
          <w:color w:val="000000"/>
          <w:sz w:val="24"/>
        </w:rPr>
        <w:t>本合同及其他乙方的承诺、售后服务承诺书、签收单、项目验收单等为本合同不可分割的组成部分，对双方均有法律上的约束力。如果对乙方技术及服务的约定与本合同约定不一致，乙方应满足有利于甲方的最高要求。</w:t>
      </w:r>
    </w:p>
    <w:p w14:paraId="00F2C2E2">
      <w:pPr>
        <w:pStyle w:val="5"/>
        <w:spacing w:line="400" w:lineRule="exact"/>
        <w:ind w:firstLine="0" w:firstLineChars="0"/>
        <w:rPr>
          <w:rFonts w:ascii="新宋体" w:hAnsi="新宋体" w:eastAsia="新宋体"/>
          <w:b/>
          <w:color w:val="000000"/>
          <w:sz w:val="24"/>
        </w:rPr>
      </w:pPr>
      <w:r>
        <w:rPr>
          <w:rFonts w:hint="eastAsia" w:ascii="新宋体" w:hAnsi="新宋体" w:eastAsia="新宋体"/>
          <w:b/>
          <w:bCs/>
          <w:color w:val="000000"/>
          <w:sz w:val="24"/>
        </w:rPr>
        <w:t>十</w:t>
      </w:r>
      <w:r>
        <w:rPr>
          <w:rFonts w:hint="eastAsia" w:ascii="新宋体" w:hAnsi="新宋体" w:eastAsia="新宋体"/>
          <w:b/>
          <w:bCs/>
          <w:color w:val="000000"/>
          <w:sz w:val="24"/>
          <w:lang w:eastAsia="zh-CN"/>
        </w:rPr>
        <w:t>一</w:t>
      </w:r>
      <w:r>
        <w:rPr>
          <w:rFonts w:hint="eastAsia" w:ascii="新宋体" w:hAnsi="新宋体" w:eastAsia="新宋体"/>
          <w:b/>
          <w:bCs/>
          <w:color w:val="000000"/>
          <w:sz w:val="24"/>
        </w:rPr>
        <w:t>、合同生效及其他</w:t>
      </w:r>
    </w:p>
    <w:p w14:paraId="3A5314F2">
      <w:pPr>
        <w:pStyle w:val="5"/>
        <w:numPr>
          <w:ilvl w:val="0"/>
          <w:numId w:val="8"/>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本合同一式</w:t>
      </w:r>
      <w:r>
        <w:rPr>
          <w:rFonts w:hint="eastAsia" w:ascii="新宋体" w:hAnsi="新宋体" w:eastAsia="新宋体"/>
          <w:color w:val="000000"/>
          <w:sz w:val="24"/>
          <w:lang w:val="en-US" w:eastAsia="zh-CN"/>
        </w:rPr>
        <w:t>X</w:t>
      </w:r>
      <w:r>
        <w:rPr>
          <w:rFonts w:hint="eastAsia" w:ascii="新宋体" w:hAnsi="新宋体" w:eastAsia="新宋体"/>
          <w:color w:val="000000"/>
          <w:sz w:val="24"/>
        </w:rPr>
        <w:t>份，甲方</w:t>
      </w:r>
      <w:r>
        <w:rPr>
          <w:rFonts w:hint="eastAsia" w:ascii="新宋体" w:hAnsi="新宋体" w:eastAsia="新宋体"/>
          <w:color w:val="000000"/>
          <w:sz w:val="24"/>
          <w:lang w:eastAsia="zh-CN"/>
        </w:rPr>
        <w:t>叁</w:t>
      </w:r>
      <w:r>
        <w:rPr>
          <w:rFonts w:hint="eastAsia" w:ascii="新宋体" w:hAnsi="新宋体" w:eastAsia="新宋体"/>
          <w:color w:val="000000"/>
          <w:sz w:val="24"/>
        </w:rPr>
        <w:t>份，乙方</w:t>
      </w:r>
      <w:r>
        <w:rPr>
          <w:rFonts w:hint="eastAsia" w:ascii="新宋体" w:hAnsi="新宋体" w:eastAsia="新宋体"/>
          <w:color w:val="000000"/>
          <w:sz w:val="24"/>
          <w:lang w:val="en-US" w:eastAsia="zh-CN"/>
        </w:rPr>
        <w:t>X</w:t>
      </w:r>
      <w:r>
        <w:rPr>
          <w:rFonts w:hint="eastAsia" w:ascii="新宋体" w:hAnsi="新宋体" w:eastAsia="新宋体"/>
          <w:color w:val="000000"/>
          <w:sz w:val="24"/>
        </w:rPr>
        <w:t>份。自双方签章之日起正式生效，传真件、扫描件具有同等法律效力。</w:t>
      </w:r>
    </w:p>
    <w:p w14:paraId="2654951A">
      <w:pPr>
        <w:pStyle w:val="5"/>
        <w:numPr>
          <w:ilvl w:val="0"/>
          <w:numId w:val="8"/>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本合同取代双方合同签订之前一切书面、口头、邮件、手机信息等协商内容，若前者所述之内容与本合同冲突，以本合同为准。</w:t>
      </w:r>
    </w:p>
    <w:p w14:paraId="096DB2A1">
      <w:pPr>
        <w:pStyle w:val="5"/>
        <w:numPr>
          <w:ilvl w:val="0"/>
          <w:numId w:val="8"/>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双方若需变更本合同内容，需经双方协商一致另行签订书面变更合同。</w:t>
      </w:r>
    </w:p>
    <w:p w14:paraId="1A98C399">
      <w:pPr>
        <w:pStyle w:val="5"/>
        <w:numPr>
          <w:ilvl w:val="0"/>
          <w:numId w:val="8"/>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本合同附件（若有）为本合同不可分割的组成部分，与合同正文有着同等的效力。</w:t>
      </w:r>
    </w:p>
    <w:tbl>
      <w:tblPr>
        <w:tblStyle w:val="3"/>
        <w:tblW w:w="9538" w:type="dxa"/>
        <w:tblInd w:w="-270" w:type="dxa"/>
        <w:tblLayout w:type="fixed"/>
        <w:tblCellMar>
          <w:top w:w="0" w:type="dxa"/>
          <w:left w:w="108" w:type="dxa"/>
          <w:bottom w:w="0" w:type="dxa"/>
          <w:right w:w="108" w:type="dxa"/>
        </w:tblCellMar>
      </w:tblPr>
      <w:tblGrid>
        <w:gridCol w:w="4510"/>
        <w:gridCol w:w="5028"/>
      </w:tblGrid>
      <w:tr w14:paraId="5FE8EC55">
        <w:tblPrEx>
          <w:tblCellMar>
            <w:top w:w="0" w:type="dxa"/>
            <w:left w:w="108" w:type="dxa"/>
            <w:bottom w:w="0" w:type="dxa"/>
            <w:right w:w="108" w:type="dxa"/>
          </w:tblCellMar>
        </w:tblPrEx>
        <w:trPr>
          <w:trHeight w:val="788" w:hRule="atLeast"/>
        </w:trPr>
        <w:tc>
          <w:tcPr>
            <w:tcW w:w="4510" w:type="dxa"/>
            <w:noWrap w:val="0"/>
            <w:vAlign w:val="top"/>
          </w:tcPr>
          <w:p w14:paraId="1BE7F006">
            <w:pPr>
              <w:rPr>
                <w:rFonts w:ascii="新宋体" w:hAnsi="新宋体" w:eastAsia="新宋体"/>
                <w:color w:val="000000"/>
                <w:sz w:val="24"/>
              </w:rPr>
            </w:pPr>
            <w:r>
              <w:rPr>
                <w:rFonts w:hint="eastAsia" w:ascii="新宋体" w:hAnsi="新宋体" w:eastAsia="新宋体"/>
                <w:color w:val="000000"/>
                <w:sz w:val="24"/>
              </w:rPr>
              <w:t>甲方： </w:t>
            </w:r>
          </w:p>
        </w:tc>
        <w:tc>
          <w:tcPr>
            <w:tcW w:w="5028" w:type="dxa"/>
            <w:noWrap w:val="0"/>
            <w:vAlign w:val="top"/>
          </w:tcPr>
          <w:p w14:paraId="01342A41">
            <w:pPr>
              <w:rPr>
                <w:rFonts w:ascii="新宋体" w:hAnsi="新宋体" w:eastAsia="新宋体"/>
                <w:color w:val="000000"/>
                <w:sz w:val="24"/>
              </w:rPr>
            </w:pPr>
            <w:r>
              <w:rPr>
                <w:rFonts w:hint="eastAsia" w:ascii="新宋体" w:hAnsi="新宋体" w:eastAsia="新宋体"/>
                <w:color w:val="000000"/>
                <w:sz w:val="24"/>
              </w:rPr>
              <w:t>乙方：</w:t>
            </w:r>
          </w:p>
        </w:tc>
      </w:tr>
      <w:tr w14:paraId="705486E4">
        <w:tblPrEx>
          <w:tblCellMar>
            <w:top w:w="0" w:type="dxa"/>
            <w:left w:w="108" w:type="dxa"/>
            <w:bottom w:w="0" w:type="dxa"/>
            <w:right w:w="108" w:type="dxa"/>
          </w:tblCellMar>
        </w:tblPrEx>
        <w:trPr>
          <w:trHeight w:val="685" w:hRule="atLeast"/>
        </w:trPr>
        <w:tc>
          <w:tcPr>
            <w:tcW w:w="4510" w:type="dxa"/>
            <w:noWrap w:val="0"/>
            <w:vAlign w:val="top"/>
          </w:tcPr>
          <w:p w14:paraId="58422657">
            <w:pPr>
              <w:rPr>
                <w:rFonts w:ascii="新宋体" w:hAnsi="新宋体" w:eastAsia="新宋体"/>
                <w:color w:val="000000"/>
                <w:sz w:val="24"/>
              </w:rPr>
            </w:pPr>
            <w:r>
              <w:rPr>
                <w:rFonts w:hint="eastAsia" w:ascii="新宋体" w:hAnsi="新宋体" w:eastAsia="新宋体"/>
                <w:color w:val="000000"/>
                <w:sz w:val="24"/>
              </w:rPr>
              <w:t xml:space="preserve">地址：            </w:t>
            </w:r>
          </w:p>
        </w:tc>
        <w:tc>
          <w:tcPr>
            <w:tcW w:w="5028" w:type="dxa"/>
            <w:noWrap w:val="0"/>
            <w:vAlign w:val="top"/>
          </w:tcPr>
          <w:p w14:paraId="1FD28D54">
            <w:pPr>
              <w:rPr>
                <w:rFonts w:ascii="新宋体" w:hAnsi="新宋体" w:eastAsia="新宋体"/>
                <w:color w:val="000000"/>
                <w:sz w:val="24"/>
              </w:rPr>
            </w:pPr>
            <w:r>
              <w:rPr>
                <w:rFonts w:hint="eastAsia" w:ascii="新宋体" w:hAnsi="新宋体" w:eastAsia="新宋体"/>
                <w:color w:val="000000"/>
                <w:sz w:val="24"/>
              </w:rPr>
              <w:t>地址：</w:t>
            </w:r>
          </w:p>
        </w:tc>
      </w:tr>
      <w:tr w14:paraId="4776976C">
        <w:tblPrEx>
          <w:tblCellMar>
            <w:top w:w="0" w:type="dxa"/>
            <w:left w:w="108" w:type="dxa"/>
            <w:bottom w:w="0" w:type="dxa"/>
            <w:right w:w="108" w:type="dxa"/>
          </w:tblCellMar>
        </w:tblPrEx>
        <w:trPr>
          <w:trHeight w:val="708" w:hRule="atLeast"/>
        </w:trPr>
        <w:tc>
          <w:tcPr>
            <w:tcW w:w="4510" w:type="dxa"/>
            <w:noWrap w:val="0"/>
            <w:vAlign w:val="top"/>
          </w:tcPr>
          <w:p w14:paraId="058CF3D1">
            <w:pPr>
              <w:rPr>
                <w:rFonts w:ascii="新宋体" w:hAnsi="新宋体" w:eastAsia="新宋体"/>
                <w:color w:val="000000"/>
                <w:sz w:val="24"/>
              </w:rPr>
            </w:pPr>
            <w:r>
              <w:rPr>
                <w:rFonts w:hint="eastAsia" w:ascii="新宋体" w:hAnsi="新宋体" w:eastAsia="新宋体"/>
                <w:color w:val="000000"/>
                <w:sz w:val="24"/>
              </w:rPr>
              <w:t>签字（盖章）：</w:t>
            </w:r>
          </w:p>
        </w:tc>
        <w:tc>
          <w:tcPr>
            <w:tcW w:w="5028" w:type="dxa"/>
            <w:noWrap w:val="0"/>
            <w:vAlign w:val="top"/>
          </w:tcPr>
          <w:p w14:paraId="7B99505C">
            <w:pPr>
              <w:rPr>
                <w:rFonts w:ascii="新宋体" w:hAnsi="新宋体" w:eastAsia="新宋体"/>
                <w:color w:val="000000"/>
                <w:sz w:val="24"/>
              </w:rPr>
            </w:pPr>
            <w:r>
              <w:rPr>
                <w:rFonts w:hint="eastAsia" w:ascii="新宋体" w:hAnsi="新宋体" w:eastAsia="新宋体"/>
                <w:color w:val="000000"/>
                <w:sz w:val="24"/>
              </w:rPr>
              <w:t>签字（盖章）：</w:t>
            </w:r>
          </w:p>
        </w:tc>
      </w:tr>
      <w:tr w14:paraId="0DFF6249">
        <w:tblPrEx>
          <w:tblCellMar>
            <w:top w:w="0" w:type="dxa"/>
            <w:left w:w="108" w:type="dxa"/>
            <w:bottom w:w="0" w:type="dxa"/>
            <w:right w:w="108" w:type="dxa"/>
          </w:tblCellMar>
        </w:tblPrEx>
        <w:trPr>
          <w:trHeight w:val="708" w:hRule="atLeast"/>
        </w:trPr>
        <w:tc>
          <w:tcPr>
            <w:tcW w:w="4510" w:type="dxa"/>
            <w:noWrap w:val="0"/>
            <w:vAlign w:val="top"/>
          </w:tcPr>
          <w:p w14:paraId="6C9BB8F1">
            <w:pPr>
              <w:rPr>
                <w:rFonts w:ascii="新宋体" w:hAnsi="新宋体" w:eastAsia="新宋体" w:cs="宋体"/>
                <w:color w:val="000000"/>
                <w:sz w:val="24"/>
              </w:rPr>
            </w:pPr>
            <w:r>
              <w:rPr>
                <w:rFonts w:hint="eastAsia" w:ascii="新宋体" w:hAnsi="新宋体" w:eastAsia="新宋体"/>
                <w:color w:val="000000"/>
                <w:sz w:val="24"/>
              </w:rPr>
              <w:t xml:space="preserve">日期：    年   月    日 </w:t>
            </w:r>
          </w:p>
        </w:tc>
        <w:tc>
          <w:tcPr>
            <w:tcW w:w="5028" w:type="dxa"/>
            <w:noWrap w:val="0"/>
            <w:vAlign w:val="top"/>
          </w:tcPr>
          <w:p w14:paraId="15E77FC9">
            <w:pPr>
              <w:rPr>
                <w:rFonts w:ascii="新宋体" w:hAnsi="新宋体" w:eastAsia="新宋体"/>
                <w:color w:val="000000"/>
                <w:sz w:val="24"/>
              </w:rPr>
            </w:pPr>
            <w:r>
              <w:rPr>
                <w:rFonts w:hint="eastAsia" w:ascii="新宋体" w:hAnsi="新宋体" w:eastAsia="新宋体"/>
                <w:color w:val="000000"/>
                <w:sz w:val="24"/>
              </w:rPr>
              <w:t xml:space="preserve">日期：    年   月    日 </w:t>
            </w:r>
          </w:p>
        </w:tc>
      </w:tr>
    </w:tbl>
    <w:p w14:paraId="603BC3F1">
      <w:pPr>
        <w:rPr>
          <w:rFonts w:ascii="新宋体" w:hAnsi="新宋体" w:eastAsia="新宋体"/>
          <w:color w:val="FF0000"/>
          <w:sz w:val="24"/>
        </w:rPr>
      </w:pPr>
    </w:p>
    <w:p w14:paraId="1E3C640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E48E9"/>
    <w:multiLevelType w:val="multilevel"/>
    <w:tmpl w:val="019E48E9"/>
    <w:lvl w:ilvl="0" w:tentative="0">
      <w:start w:val="1"/>
      <w:numFmt w:val="chineseCountingThousand"/>
      <w:lvlText w:val="(%1)"/>
      <w:lvlJc w:val="left"/>
      <w:pPr>
        <w:ind w:left="765" w:hanging="765"/>
      </w:pPr>
      <w:rPr>
        <w:rFonts w:hint="eastAsia"/>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
    <w:nsid w:val="0C444C65"/>
    <w:multiLevelType w:val="multilevel"/>
    <w:tmpl w:val="0C444C65"/>
    <w:lvl w:ilvl="0" w:tentative="0">
      <w:start w:val="1"/>
      <w:numFmt w:val="decimal"/>
      <w:lvlText w:val="%1)"/>
      <w:lvlJc w:val="left"/>
      <w:pPr>
        <w:ind w:left="-83" w:firstLine="934"/>
      </w:pPr>
      <w:rPr>
        <w:rFonts w:hint="eastAsia"/>
      </w:rPr>
    </w:lvl>
    <w:lvl w:ilvl="1" w:tentative="0">
      <w:start w:val="1"/>
      <w:numFmt w:val="lowerLetter"/>
      <w:lvlText w:val="%2)"/>
      <w:lvlJc w:val="left"/>
      <w:pPr>
        <w:ind w:left="1744" w:hanging="420"/>
      </w:pPr>
    </w:lvl>
    <w:lvl w:ilvl="2" w:tentative="0">
      <w:start w:val="1"/>
      <w:numFmt w:val="lowerRoman"/>
      <w:lvlText w:val="%3."/>
      <w:lvlJc w:val="right"/>
      <w:pPr>
        <w:ind w:left="2164" w:hanging="420"/>
      </w:pPr>
    </w:lvl>
    <w:lvl w:ilvl="3" w:tentative="0">
      <w:start w:val="1"/>
      <w:numFmt w:val="decimal"/>
      <w:lvlText w:val="%4."/>
      <w:lvlJc w:val="left"/>
      <w:pPr>
        <w:ind w:left="2584" w:hanging="420"/>
      </w:pPr>
    </w:lvl>
    <w:lvl w:ilvl="4" w:tentative="0">
      <w:start w:val="1"/>
      <w:numFmt w:val="lowerLetter"/>
      <w:lvlText w:val="%5)"/>
      <w:lvlJc w:val="left"/>
      <w:pPr>
        <w:ind w:left="3004" w:hanging="420"/>
      </w:pPr>
    </w:lvl>
    <w:lvl w:ilvl="5" w:tentative="0">
      <w:start w:val="1"/>
      <w:numFmt w:val="lowerRoman"/>
      <w:lvlText w:val="%6."/>
      <w:lvlJc w:val="right"/>
      <w:pPr>
        <w:ind w:left="3424" w:hanging="420"/>
      </w:pPr>
    </w:lvl>
    <w:lvl w:ilvl="6" w:tentative="0">
      <w:start w:val="1"/>
      <w:numFmt w:val="decimal"/>
      <w:lvlText w:val="%7."/>
      <w:lvlJc w:val="left"/>
      <w:pPr>
        <w:ind w:left="3844" w:hanging="420"/>
      </w:pPr>
    </w:lvl>
    <w:lvl w:ilvl="7" w:tentative="0">
      <w:start w:val="1"/>
      <w:numFmt w:val="lowerLetter"/>
      <w:lvlText w:val="%8)"/>
      <w:lvlJc w:val="left"/>
      <w:pPr>
        <w:ind w:left="4264" w:hanging="420"/>
      </w:pPr>
    </w:lvl>
    <w:lvl w:ilvl="8" w:tentative="0">
      <w:start w:val="1"/>
      <w:numFmt w:val="lowerRoman"/>
      <w:lvlText w:val="%9."/>
      <w:lvlJc w:val="right"/>
      <w:pPr>
        <w:ind w:left="4684" w:hanging="420"/>
      </w:pPr>
    </w:lvl>
  </w:abstractNum>
  <w:abstractNum w:abstractNumId="2">
    <w:nsid w:val="1E9611AA"/>
    <w:multiLevelType w:val="multilevel"/>
    <w:tmpl w:val="1E9611A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25C4ED8"/>
    <w:multiLevelType w:val="multilevel"/>
    <w:tmpl w:val="225C4ED8"/>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BC5C76"/>
    <w:multiLevelType w:val="multilevel"/>
    <w:tmpl w:val="60BC5C76"/>
    <w:lvl w:ilvl="0" w:tentative="0">
      <w:start w:val="1"/>
      <w:numFmt w:val="chineseCountingThousand"/>
      <w:lvlText w:val="(%1)"/>
      <w:lvlJc w:val="left"/>
      <w:pPr>
        <w:ind w:left="765" w:hanging="765"/>
      </w:pPr>
      <w:rPr>
        <w:rFonts w:hint="eastAsia"/>
        <w:b/>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5">
    <w:nsid w:val="662C667C"/>
    <w:multiLevelType w:val="multilevel"/>
    <w:tmpl w:val="662C667C"/>
    <w:lvl w:ilvl="0" w:tentative="0">
      <w:start w:val="1"/>
      <w:numFmt w:val="chineseCountingThousand"/>
      <w:lvlText w:val="(%1)"/>
      <w:lvlJc w:val="left"/>
      <w:pPr>
        <w:ind w:left="765" w:hanging="76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BD232C2"/>
    <w:multiLevelType w:val="multilevel"/>
    <w:tmpl w:val="6BD232C2"/>
    <w:lvl w:ilvl="0" w:tentative="0">
      <w:start w:val="1"/>
      <w:numFmt w:val="chineseCountingThousand"/>
      <w:lvlText w:val="(%1)"/>
      <w:lvlJc w:val="left"/>
      <w:pPr>
        <w:ind w:left="765" w:hanging="76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CC721FE"/>
    <w:multiLevelType w:val="multilevel"/>
    <w:tmpl w:val="7CC721FE"/>
    <w:lvl w:ilvl="0" w:tentative="0">
      <w:start w:val="1"/>
      <w:numFmt w:val="decimal"/>
      <w:lvlText w:val="%1."/>
      <w:lvlJc w:val="left"/>
      <w:pPr>
        <w:ind w:left="904" w:hanging="420"/>
      </w:pPr>
    </w:lvl>
    <w:lvl w:ilvl="1" w:tentative="0">
      <w:start w:val="1"/>
      <w:numFmt w:val="lowerLetter"/>
      <w:lvlText w:val="%2)"/>
      <w:lvlJc w:val="left"/>
      <w:pPr>
        <w:ind w:left="1324" w:hanging="420"/>
      </w:pPr>
    </w:lvl>
    <w:lvl w:ilvl="2" w:tentative="0">
      <w:start w:val="1"/>
      <w:numFmt w:val="lowerRoman"/>
      <w:lvlText w:val="%3."/>
      <w:lvlJc w:val="right"/>
      <w:pPr>
        <w:ind w:left="1744" w:hanging="420"/>
      </w:pPr>
    </w:lvl>
    <w:lvl w:ilvl="3" w:tentative="0">
      <w:start w:val="1"/>
      <w:numFmt w:val="decimal"/>
      <w:lvlText w:val="%4."/>
      <w:lvlJc w:val="left"/>
      <w:pPr>
        <w:ind w:left="2164" w:hanging="420"/>
      </w:pPr>
    </w:lvl>
    <w:lvl w:ilvl="4" w:tentative="0">
      <w:start w:val="1"/>
      <w:numFmt w:val="lowerLetter"/>
      <w:lvlText w:val="%5)"/>
      <w:lvlJc w:val="left"/>
      <w:pPr>
        <w:ind w:left="2584" w:hanging="420"/>
      </w:pPr>
    </w:lvl>
    <w:lvl w:ilvl="5" w:tentative="0">
      <w:start w:val="1"/>
      <w:numFmt w:val="lowerRoman"/>
      <w:lvlText w:val="%6."/>
      <w:lvlJc w:val="right"/>
      <w:pPr>
        <w:ind w:left="3004" w:hanging="420"/>
      </w:pPr>
    </w:lvl>
    <w:lvl w:ilvl="6" w:tentative="0">
      <w:start w:val="1"/>
      <w:numFmt w:val="decimal"/>
      <w:lvlText w:val="%7."/>
      <w:lvlJc w:val="left"/>
      <w:pPr>
        <w:ind w:left="3424" w:hanging="420"/>
      </w:pPr>
    </w:lvl>
    <w:lvl w:ilvl="7" w:tentative="0">
      <w:start w:val="1"/>
      <w:numFmt w:val="lowerLetter"/>
      <w:lvlText w:val="%8)"/>
      <w:lvlJc w:val="left"/>
      <w:pPr>
        <w:ind w:left="3844" w:hanging="420"/>
      </w:pPr>
    </w:lvl>
    <w:lvl w:ilvl="8" w:tentative="0">
      <w:start w:val="1"/>
      <w:numFmt w:val="lowerRoman"/>
      <w:lvlText w:val="%9."/>
      <w:lvlJc w:val="right"/>
      <w:pPr>
        <w:ind w:left="4264" w:hanging="420"/>
      </w:pPr>
    </w:lvl>
  </w:abstractNum>
  <w:num w:numId="1">
    <w:abstractNumId w:val="2"/>
  </w:num>
  <w:num w:numId="2">
    <w:abstractNumId w:val="6"/>
  </w:num>
  <w:num w:numId="3">
    <w:abstractNumId w:val="3"/>
  </w:num>
  <w:num w:numId="4">
    <w:abstractNumId w:val="7"/>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34AF3"/>
    <w:rsid w:val="0192137B"/>
    <w:rsid w:val="03402B65"/>
    <w:rsid w:val="05CD6A19"/>
    <w:rsid w:val="07180CFA"/>
    <w:rsid w:val="07EA5EE2"/>
    <w:rsid w:val="101726C5"/>
    <w:rsid w:val="132341B9"/>
    <w:rsid w:val="208526E8"/>
    <w:rsid w:val="216C167E"/>
    <w:rsid w:val="324D1E93"/>
    <w:rsid w:val="33953977"/>
    <w:rsid w:val="33B61BE4"/>
    <w:rsid w:val="343F05B7"/>
    <w:rsid w:val="35771A08"/>
    <w:rsid w:val="37D91C3D"/>
    <w:rsid w:val="37EC6292"/>
    <w:rsid w:val="39E822D2"/>
    <w:rsid w:val="3BB2609A"/>
    <w:rsid w:val="46B174EE"/>
    <w:rsid w:val="48407C9F"/>
    <w:rsid w:val="49034931"/>
    <w:rsid w:val="4B234AF3"/>
    <w:rsid w:val="4EBF3B73"/>
    <w:rsid w:val="5B533998"/>
    <w:rsid w:val="5CC40E73"/>
    <w:rsid w:val="5E701600"/>
    <w:rsid w:val="62E82869"/>
    <w:rsid w:val="637264BC"/>
    <w:rsid w:val="6C2F1541"/>
    <w:rsid w:val="7D7C7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contextualSpacing/>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customStyle="1" w:styleId="5">
    <w:name w:val="列表段落1"/>
    <w:basedOn w:val="1"/>
    <w:qFormat/>
    <w:uiPriority w:val="99"/>
    <w:pPr>
      <w:spacing w:line="240" w:lineRule="auto"/>
      <w:ind w:firstLine="420" w:firstLineChars="200"/>
      <w:jc w:val="both"/>
    </w:pPr>
    <w:rPr>
      <w:sz w:val="28"/>
      <w:szCs w:val="28"/>
    </w:rPr>
  </w:style>
  <w:style w:type="paragraph" w:customStyle="1" w:styleId="6">
    <w:name w:val="列出段落1"/>
    <w:basedOn w:val="1"/>
    <w:qFormat/>
    <w:uiPriority w:val="99"/>
    <w:pPr>
      <w:spacing w:line="240" w:lineRule="auto"/>
      <w:ind w:firstLine="420" w:firstLineChars="200"/>
      <w:jc w:val="both"/>
    </w:pPr>
    <w:rPr>
      <w:rFonts w:ascii="Calibri" w:hAnsi="Calibri"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3411</Words>
  <Characters>3441</Characters>
  <Lines>0</Lines>
  <Paragraphs>0</Paragraphs>
  <TotalTime>9</TotalTime>
  <ScaleCrop>false</ScaleCrop>
  <LinksUpToDate>false</LinksUpToDate>
  <CharactersWithSpaces>3484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2024-06-03T06:41:00Z</dcterms:created>
  <dc:creator>黄涛</dc:creator>
  <cp:lastModifiedBy>梦</cp:lastModifiedBy>
  <dcterms:modified xsi:type="dcterms:W3CDTF">2026-08-11T07:02:19Z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eyJoZGlkIjoiNWMzY2Y4NDZlYjRiZDIzZGQyMjM0ZjA5NzgwNDc4NWYiLCJ1c2VySWQiOiIzODk4NDg4ODkifQ==</vt:lpwstr>
  </property>
  <property fmtid="{D5CDD505-2E9C-101B-9397-08002B2CF9AE}" pid="4" name="ICV">
    <vt:lpwstr>E855D9F8F5214383BC4924E2AAD8680B_13</vt:lpwstr>
  </property>
</Properties>
</file>