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32040E">
      <w:pPr>
        <w:autoSpaceDE w:val="0"/>
        <w:autoSpaceDN w:val="0"/>
        <w:adjustRightInd w:val="0"/>
        <w:snapToGrid w:val="0"/>
        <w:spacing w:line="360" w:lineRule="auto"/>
        <w:ind w:firstLine="482" w:firstLineChars="200"/>
        <w:rPr>
          <w:rFonts w:hint="eastAsia" w:ascii="宋体" w:eastAsia="宋体"/>
          <w:b/>
          <w:bCs/>
          <w:sz w:val="24"/>
          <w:szCs w:val="24"/>
          <w:lang w:eastAsia="zh-CN"/>
        </w:rPr>
      </w:pPr>
      <w:r>
        <w:rPr>
          <w:rFonts w:hint="eastAsia" w:ascii="宋体" w:hAnsi="宋体" w:cs="宋体"/>
          <w:b/>
          <w:bCs/>
          <w:sz w:val="24"/>
          <w:szCs w:val="24"/>
        </w:rPr>
        <w:t>项目名称：</w:t>
      </w:r>
      <w:r>
        <w:rPr>
          <w:rFonts w:hint="eastAsia" w:ascii="宋体" w:hAnsi="宋体" w:cs="宋体"/>
          <w:b/>
          <w:bCs/>
          <w:sz w:val="24"/>
          <w:szCs w:val="24"/>
          <w:lang w:eastAsia="zh-CN"/>
        </w:rPr>
        <w:t>重庆市工程管理有限公司审计服务采购（第二次）</w:t>
      </w:r>
    </w:p>
    <w:p w14:paraId="61E84B5A">
      <w:pPr>
        <w:widowControl/>
        <w:spacing w:line="360" w:lineRule="auto"/>
        <w:ind w:firstLine="675" w:firstLineChars="224"/>
        <w:jc w:val="center"/>
        <w:rPr>
          <w:rFonts w:ascii="宋体"/>
          <w:b/>
          <w:bCs/>
          <w:sz w:val="30"/>
          <w:szCs w:val="30"/>
        </w:rPr>
      </w:pPr>
    </w:p>
    <w:p w14:paraId="1FF5B773">
      <w:pPr>
        <w:pStyle w:val="3"/>
        <w:rPr>
          <w:b/>
          <w:bCs/>
          <w:sz w:val="30"/>
          <w:szCs w:val="30"/>
        </w:rPr>
      </w:pPr>
    </w:p>
    <w:p w14:paraId="74930381"/>
    <w:p w14:paraId="59FA1FAB">
      <w:pPr>
        <w:widowControl/>
        <w:spacing w:line="360" w:lineRule="auto"/>
        <w:ind w:firstLine="675" w:firstLineChars="224"/>
        <w:jc w:val="center"/>
        <w:rPr>
          <w:rFonts w:ascii="宋体"/>
          <w:b/>
          <w:bCs/>
          <w:sz w:val="30"/>
          <w:szCs w:val="30"/>
        </w:rPr>
      </w:pPr>
    </w:p>
    <w:p w14:paraId="138F9348">
      <w:pPr>
        <w:widowControl/>
        <w:spacing w:line="360" w:lineRule="auto"/>
        <w:ind w:firstLine="675" w:firstLineChars="224"/>
        <w:jc w:val="center"/>
        <w:rPr>
          <w:rFonts w:ascii="宋体"/>
          <w:b/>
          <w:bCs/>
          <w:sz w:val="30"/>
          <w:szCs w:val="30"/>
        </w:rPr>
      </w:pPr>
    </w:p>
    <w:p w14:paraId="30040CD3">
      <w:pPr>
        <w:widowControl/>
        <w:spacing w:line="360" w:lineRule="auto"/>
        <w:ind w:firstLine="675" w:firstLineChars="224"/>
        <w:jc w:val="center"/>
        <w:rPr>
          <w:rFonts w:ascii="宋体"/>
          <w:b/>
          <w:bCs/>
          <w:sz w:val="30"/>
          <w:szCs w:val="30"/>
        </w:rPr>
      </w:pPr>
    </w:p>
    <w:p w14:paraId="263BABCD">
      <w:pPr>
        <w:widowControl/>
        <w:spacing w:line="360" w:lineRule="auto"/>
        <w:ind w:firstLine="675" w:firstLineChars="224"/>
        <w:jc w:val="center"/>
        <w:rPr>
          <w:rFonts w:ascii="宋体"/>
          <w:b/>
          <w:bCs/>
          <w:sz w:val="30"/>
          <w:szCs w:val="30"/>
        </w:rPr>
      </w:pPr>
    </w:p>
    <w:p w14:paraId="1EFE5C32">
      <w:pPr>
        <w:widowControl/>
        <w:spacing w:line="360" w:lineRule="auto"/>
        <w:jc w:val="center"/>
        <w:rPr>
          <w:rFonts w:ascii="宋体"/>
          <w:kern w:val="0"/>
          <w:sz w:val="44"/>
          <w:szCs w:val="44"/>
        </w:rPr>
      </w:pPr>
      <w:r>
        <w:rPr>
          <w:rFonts w:hint="eastAsia" w:ascii="宋体" w:hAnsi="宋体" w:cs="宋体"/>
          <w:b/>
          <w:bCs/>
          <w:sz w:val="44"/>
          <w:szCs w:val="44"/>
        </w:rPr>
        <w:t>询比文件</w:t>
      </w:r>
    </w:p>
    <w:p w14:paraId="1120E25B">
      <w:pPr>
        <w:spacing w:line="360" w:lineRule="auto"/>
        <w:ind w:firstLine="672" w:firstLineChars="224"/>
        <w:rPr>
          <w:rFonts w:ascii="宋体"/>
          <w:sz w:val="30"/>
          <w:szCs w:val="30"/>
        </w:rPr>
      </w:pPr>
    </w:p>
    <w:p w14:paraId="6D203A23">
      <w:pPr>
        <w:spacing w:line="360" w:lineRule="auto"/>
        <w:ind w:firstLine="672" w:firstLineChars="224"/>
        <w:jc w:val="center"/>
        <w:rPr>
          <w:rFonts w:ascii="宋体"/>
          <w:sz w:val="30"/>
          <w:szCs w:val="30"/>
        </w:rPr>
      </w:pPr>
      <w:r>
        <w:rPr>
          <w:rFonts w:hint="eastAsia" w:ascii="宋体"/>
          <w:sz w:val="30"/>
          <w:szCs w:val="30"/>
        </w:rPr>
        <w:drawing>
          <wp:inline distT="0" distB="0" distL="114300" distR="114300">
            <wp:extent cx="1604645" cy="972820"/>
            <wp:effectExtent l="0" t="0" r="14605" b="17780"/>
            <wp:docPr id="5" name="图片 5" descr="重咨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重咨LOGO"/>
                    <pic:cNvPicPr>
                      <a:picLocks noChangeAspect="1"/>
                    </pic:cNvPicPr>
                  </pic:nvPicPr>
                  <pic:blipFill>
                    <a:blip r:embed="rId10"/>
                    <a:stretch>
                      <a:fillRect/>
                    </a:stretch>
                  </pic:blipFill>
                  <pic:spPr>
                    <a:xfrm>
                      <a:off x="0" y="0"/>
                      <a:ext cx="1604645" cy="972820"/>
                    </a:xfrm>
                    <a:prstGeom prst="rect">
                      <a:avLst/>
                    </a:prstGeom>
                  </pic:spPr>
                </pic:pic>
              </a:graphicData>
            </a:graphic>
          </wp:inline>
        </w:drawing>
      </w:r>
    </w:p>
    <w:p w14:paraId="3E522462">
      <w:pPr>
        <w:spacing w:line="360" w:lineRule="auto"/>
        <w:ind w:firstLine="672" w:firstLineChars="224"/>
        <w:rPr>
          <w:rFonts w:ascii="宋体"/>
          <w:sz w:val="30"/>
          <w:szCs w:val="30"/>
        </w:rPr>
      </w:pPr>
    </w:p>
    <w:p w14:paraId="6A18B65D">
      <w:pPr>
        <w:spacing w:line="360" w:lineRule="auto"/>
        <w:rPr>
          <w:rFonts w:ascii="宋体"/>
          <w:sz w:val="30"/>
          <w:szCs w:val="30"/>
        </w:rPr>
      </w:pPr>
    </w:p>
    <w:p w14:paraId="3AED1BCE">
      <w:pPr>
        <w:spacing w:line="360" w:lineRule="auto"/>
        <w:rPr>
          <w:rFonts w:ascii="宋体"/>
          <w:sz w:val="30"/>
          <w:szCs w:val="30"/>
        </w:rPr>
      </w:pPr>
    </w:p>
    <w:p w14:paraId="75DCCF25">
      <w:pPr>
        <w:spacing w:line="360" w:lineRule="auto"/>
        <w:ind w:left="-359" w:leftChars="-171"/>
        <w:rPr>
          <w:rFonts w:ascii="宋体"/>
          <w:b/>
          <w:bCs/>
          <w:sz w:val="30"/>
          <w:szCs w:val="30"/>
          <w:highlight w:val="none"/>
        </w:rPr>
      </w:pPr>
    </w:p>
    <w:p w14:paraId="666B9222">
      <w:pPr>
        <w:spacing w:line="360" w:lineRule="auto"/>
        <w:ind w:left="-359" w:leftChars="-171"/>
        <w:rPr>
          <w:rFonts w:ascii="宋体"/>
          <w:b/>
          <w:bCs/>
          <w:sz w:val="30"/>
          <w:szCs w:val="30"/>
          <w:highlight w:val="none"/>
        </w:rPr>
      </w:pPr>
    </w:p>
    <w:p w14:paraId="2A036312">
      <w:pPr>
        <w:spacing w:line="360" w:lineRule="auto"/>
        <w:ind w:left="-359" w:leftChars="-171" w:firstLine="1678" w:firstLineChars="597"/>
        <w:rPr>
          <w:rFonts w:ascii="宋体" w:hAnsi="宋体" w:cs="宋体"/>
          <w:b/>
          <w:bCs/>
          <w:sz w:val="28"/>
          <w:szCs w:val="28"/>
          <w:u w:val="single"/>
        </w:rPr>
      </w:pPr>
      <w:r>
        <w:rPr>
          <w:rFonts w:hint="eastAsia" w:ascii="宋体" w:hAnsi="宋体" w:cs="宋体"/>
          <w:b/>
          <w:bCs/>
          <w:sz w:val="28"/>
          <w:szCs w:val="28"/>
          <w:highlight w:val="none"/>
        </w:rPr>
        <w:t>项 目 业 主：</w:t>
      </w:r>
      <w:r>
        <w:rPr>
          <w:rFonts w:hint="eastAsia" w:ascii="宋体" w:hAnsi="宋体" w:cs="宋体"/>
          <w:b/>
          <w:bCs/>
          <w:sz w:val="28"/>
          <w:szCs w:val="28"/>
          <w:highlight w:val="none"/>
          <w:u w:val="single"/>
        </w:rPr>
        <w:t>重庆市工程管理有限公司</w:t>
      </w:r>
    </w:p>
    <w:p w14:paraId="6BDBC748">
      <w:pPr>
        <w:spacing w:line="360" w:lineRule="auto"/>
        <w:ind w:left="-359" w:leftChars="-171" w:firstLine="1678" w:firstLineChars="597"/>
        <w:rPr>
          <w:rFonts w:ascii="宋体"/>
          <w:b/>
          <w:bCs/>
          <w:sz w:val="28"/>
          <w:szCs w:val="28"/>
          <w:u w:val="single"/>
        </w:rPr>
      </w:pPr>
      <w:r>
        <w:rPr>
          <w:rFonts w:hint="eastAsia" w:ascii="宋体" w:hAnsi="宋体" w:cs="宋体"/>
          <w:b/>
          <w:bCs/>
          <w:sz w:val="28"/>
          <w:szCs w:val="28"/>
        </w:rPr>
        <w:t>代 理 机 构：</w:t>
      </w:r>
      <w:r>
        <w:rPr>
          <w:rFonts w:hint="eastAsia" w:ascii="宋体" w:hAnsi="宋体" w:cs="宋体"/>
          <w:b/>
          <w:bCs/>
          <w:sz w:val="28"/>
          <w:szCs w:val="28"/>
          <w:u w:val="single"/>
        </w:rPr>
        <w:t>重庆招标采购（集团）有限责任公司</w:t>
      </w:r>
    </w:p>
    <w:p w14:paraId="7CEA5FD5">
      <w:pPr>
        <w:spacing w:line="360" w:lineRule="auto"/>
        <w:ind w:firstLine="716" w:firstLineChars="224"/>
        <w:jc w:val="center"/>
        <w:rPr>
          <w:rFonts w:ascii="宋体"/>
          <w:sz w:val="32"/>
          <w:szCs w:val="32"/>
        </w:rPr>
      </w:pPr>
    </w:p>
    <w:p w14:paraId="1AEF13E1">
      <w:pPr>
        <w:spacing w:line="360" w:lineRule="auto"/>
        <w:jc w:val="center"/>
        <w:rPr>
          <w:rFonts w:ascii="宋体" w:hAnsi="宋体" w:cs="宋体"/>
          <w:b/>
          <w:bCs/>
          <w:sz w:val="32"/>
          <w:szCs w:val="32"/>
        </w:rPr>
      </w:pPr>
      <w:r>
        <w:rPr>
          <w:rFonts w:hint="eastAsia" w:ascii="宋体" w:hAnsi="宋体" w:cs="宋体"/>
          <w:b/>
          <w:bCs/>
          <w:sz w:val="32"/>
          <w:szCs w:val="32"/>
        </w:rPr>
        <w:t>二</w:t>
      </w:r>
      <w:r>
        <w:rPr>
          <w:rFonts w:ascii="宋体" w:cs="宋体"/>
          <w:b/>
          <w:bCs/>
          <w:sz w:val="32"/>
          <w:szCs w:val="32"/>
        </w:rPr>
        <w:t>0</w:t>
      </w:r>
      <w:r>
        <w:rPr>
          <w:rFonts w:hint="eastAsia" w:ascii="宋体" w:hAnsi="宋体" w:cs="宋体"/>
          <w:b/>
          <w:bCs/>
          <w:sz w:val="32"/>
          <w:szCs w:val="32"/>
        </w:rPr>
        <w:t>二六年七月</w:t>
      </w:r>
      <w:r>
        <w:rPr>
          <w:rFonts w:ascii="宋体" w:hAnsi="宋体" w:cs="宋体"/>
          <w:b/>
          <w:bCs/>
          <w:sz w:val="32"/>
          <w:szCs w:val="32"/>
        </w:rPr>
        <w:br w:type="page"/>
      </w:r>
    </w:p>
    <w:p w14:paraId="4058355A">
      <w:pPr>
        <w:spacing w:line="360" w:lineRule="auto"/>
        <w:outlineLvl w:val="0"/>
        <w:rPr>
          <w:rFonts w:ascii="宋体"/>
          <w:b/>
          <w:bCs/>
          <w:sz w:val="28"/>
          <w:szCs w:val="28"/>
        </w:rPr>
      </w:pPr>
    </w:p>
    <w:p w14:paraId="499F436A">
      <w:pPr>
        <w:tabs>
          <w:tab w:val="right" w:leader="dot" w:pos="9610"/>
        </w:tabs>
        <w:spacing w:line="360" w:lineRule="auto"/>
        <w:jc w:val="center"/>
      </w:pPr>
      <w:r>
        <w:rPr>
          <w:rFonts w:hint="eastAsia" w:ascii="方正仿宋_GBK" w:hAnsi="方正仿宋_GBK" w:eastAsia="方正仿宋_GBK" w:cs="方正仿宋_GBK"/>
          <w:b/>
          <w:bCs/>
          <w:sz w:val="44"/>
          <w:szCs w:val="44"/>
        </w:rPr>
        <w:t>目      录</w:t>
      </w:r>
      <w:r>
        <w:fldChar w:fldCharType="begin"/>
      </w:r>
      <w:r>
        <w:instrText xml:space="preserve">TOC \o "1-2" \h \u </w:instrText>
      </w:r>
      <w:r>
        <w:fldChar w:fldCharType="separate"/>
      </w:r>
    </w:p>
    <w:p w14:paraId="422D372E">
      <w:pPr>
        <w:pStyle w:val="16"/>
        <w:tabs>
          <w:tab w:val="right" w:leader="dot" w:pos="9610"/>
        </w:tabs>
        <w:rPr>
          <w:rFonts w:ascii="方正仿宋_GBK" w:hAnsi="方正仿宋_GBK" w:eastAsia="方正仿宋_GBK" w:cs="方正仿宋_GBK"/>
        </w:rPr>
      </w:pPr>
      <w:r>
        <w:fldChar w:fldCharType="begin"/>
      </w:r>
      <w:r>
        <w:instrText xml:space="preserve"> HYPERLINK \l "_Toc30924" </w:instrText>
      </w:r>
      <w:r>
        <w:fldChar w:fldCharType="separate"/>
      </w:r>
      <w:r>
        <w:rPr>
          <w:rFonts w:hint="eastAsia" w:ascii="方正仿宋_GBK" w:hAnsi="方正仿宋_GBK" w:eastAsia="方正仿宋_GBK" w:cs="方正仿宋_GBK"/>
          <w:bCs/>
          <w:szCs w:val="28"/>
        </w:rPr>
        <w:t>第一部分 询比公告</w:t>
      </w:r>
      <w:r>
        <w:rPr>
          <w:rFonts w:hint="eastAsia" w:ascii="方正仿宋_GBK" w:hAnsi="方正仿宋_GBK" w:eastAsia="方正仿宋_GBK" w:cs="方正仿宋_GBK"/>
        </w:rPr>
        <w:tab/>
      </w: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PAGEREF _Toc30924 \h </w:instrText>
      </w:r>
      <w:r>
        <w:rPr>
          <w:rFonts w:hint="eastAsia" w:ascii="方正仿宋_GBK" w:hAnsi="方正仿宋_GBK" w:eastAsia="方正仿宋_GBK" w:cs="方正仿宋_GBK"/>
        </w:rPr>
        <w:fldChar w:fldCharType="separate"/>
      </w:r>
      <w:r>
        <w:rPr>
          <w:rFonts w:ascii="方正仿宋_GBK" w:hAnsi="方正仿宋_GBK" w:eastAsia="方正仿宋_GBK" w:cs="方正仿宋_GBK"/>
        </w:rPr>
        <w:t>1</w:t>
      </w:r>
      <w:r>
        <w:rPr>
          <w:rFonts w:hint="eastAsia" w:ascii="方正仿宋_GBK" w:hAnsi="方正仿宋_GBK" w:eastAsia="方正仿宋_GBK" w:cs="方正仿宋_GBK"/>
        </w:rPr>
        <w:fldChar w:fldCharType="end"/>
      </w:r>
      <w:r>
        <w:rPr>
          <w:rFonts w:hint="eastAsia" w:ascii="方正仿宋_GBK" w:hAnsi="方正仿宋_GBK" w:eastAsia="方正仿宋_GBK" w:cs="方正仿宋_GBK"/>
        </w:rPr>
        <w:fldChar w:fldCharType="end"/>
      </w:r>
    </w:p>
    <w:p w14:paraId="659FB7C7">
      <w:pPr>
        <w:pStyle w:val="16"/>
        <w:tabs>
          <w:tab w:val="right" w:leader="dot" w:pos="9610"/>
        </w:tabs>
        <w:rPr>
          <w:rFonts w:ascii="方正仿宋_GBK" w:hAnsi="方正仿宋_GBK" w:eastAsia="方正仿宋_GBK" w:cs="方正仿宋_GBK"/>
        </w:rPr>
      </w:pPr>
      <w:r>
        <w:fldChar w:fldCharType="begin"/>
      </w:r>
      <w:r>
        <w:instrText xml:space="preserve"> HYPERLINK \l "_Toc3650" </w:instrText>
      </w:r>
      <w:r>
        <w:fldChar w:fldCharType="separate"/>
      </w:r>
      <w:r>
        <w:rPr>
          <w:rFonts w:hint="eastAsia" w:ascii="方正仿宋_GBK" w:hAnsi="方正仿宋_GBK" w:eastAsia="方正仿宋_GBK" w:cs="方正仿宋_GBK"/>
          <w:szCs w:val="28"/>
        </w:rPr>
        <w:t>第二部分 询比须知</w:t>
      </w:r>
      <w:r>
        <w:rPr>
          <w:rFonts w:hint="eastAsia" w:ascii="方正仿宋_GBK" w:hAnsi="方正仿宋_GBK" w:eastAsia="方正仿宋_GBK" w:cs="方正仿宋_GBK"/>
        </w:rPr>
        <w:tab/>
      </w: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PAGEREF _Toc3650 \h </w:instrText>
      </w:r>
      <w:r>
        <w:rPr>
          <w:rFonts w:hint="eastAsia" w:ascii="方正仿宋_GBK" w:hAnsi="方正仿宋_GBK" w:eastAsia="方正仿宋_GBK" w:cs="方正仿宋_GBK"/>
        </w:rPr>
        <w:fldChar w:fldCharType="separate"/>
      </w:r>
      <w:r>
        <w:rPr>
          <w:rFonts w:ascii="方正仿宋_GBK" w:hAnsi="方正仿宋_GBK" w:eastAsia="方正仿宋_GBK" w:cs="方正仿宋_GBK"/>
        </w:rPr>
        <w:t>4</w:t>
      </w:r>
      <w:r>
        <w:rPr>
          <w:rFonts w:hint="eastAsia" w:ascii="方正仿宋_GBK" w:hAnsi="方正仿宋_GBK" w:eastAsia="方正仿宋_GBK" w:cs="方正仿宋_GBK"/>
        </w:rPr>
        <w:fldChar w:fldCharType="end"/>
      </w:r>
      <w:r>
        <w:rPr>
          <w:rFonts w:hint="eastAsia" w:ascii="方正仿宋_GBK" w:hAnsi="方正仿宋_GBK" w:eastAsia="方正仿宋_GBK" w:cs="方正仿宋_GBK"/>
        </w:rPr>
        <w:fldChar w:fldCharType="end"/>
      </w:r>
    </w:p>
    <w:p w14:paraId="4D3004FE">
      <w:pPr>
        <w:pStyle w:val="16"/>
        <w:tabs>
          <w:tab w:val="right" w:leader="dot" w:pos="9610"/>
        </w:tabs>
        <w:rPr>
          <w:rFonts w:ascii="方正仿宋_GBK" w:hAnsi="方正仿宋_GBK" w:eastAsia="方正仿宋_GBK" w:cs="方正仿宋_GBK"/>
        </w:rPr>
      </w:pPr>
      <w:r>
        <w:fldChar w:fldCharType="begin"/>
      </w:r>
      <w:r>
        <w:instrText xml:space="preserve"> HYPERLINK \l "_Toc15388" </w:instrText>
      </w:r>
      <w:r>
        <w:fldChar w:fldCharType="separate"/>
      </w:r>
      <w:r>
        <w:rPr>
          <w:rFonts w:hint="eastAsia" w:ascii="方正仿宋_GBK" w:hAnsi="方正仿宋_GBK" w:eastAsia="方正仿宋_GBK" w:cs="方正仿宋_GBK"/>
          <w:bCs/>
          <w:szCs w:val="28"/>
        </w:rPr>
        <w:t>第三部分 响应文件格式</w:t>
      </w:r>
      <w:r>
        <w:rPr>
          <w:rFonts w:hint="eastAsia" w:ascii="方正仿宋_GBK" w:hAnsi="方正仿宋_GBK" w:eastAsia="方正仿宋_GBK" w:cs="方正仿宋_GBK"/>
        </w:rPr>
        <w:tab/>
      </w: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PAGEREF _Toc15388 \h </w:instrText>
      </w:r>
      <w:r>
        <w:rPr>
          <w:rFonts w:hint="eastAsia" w:ascii="方正仿宋_GBK" w:hAnsi="方正仿宋_GBK" w:eastAsia="方正仿宋_GBK" w:cs="方正仿宋_GBK"/>
        </w:rPr>
        <w:fldChar w:fldCharType="separate"/>
      </w:r>
      <w:r>
        <w:rPr>
          <w:rFonts w:ascii="方正仿宋_GBK" w:hAnsi="方正仿宋_GBK" w:eastAsia="方正仿宋_GBK" w:cs="方正仿宋_GBK"/>
        </w:rPr>
        <w:t>11</w:t>
      </w:r>
      <w:r>
        <w:rPr>
          <w:rFonts w:hint="eastAsia" w:ascii="方正仿宋_GBK" w:hAnsi="方正仿宋_GBK" w:eastAsia="方正仿宋_GBK" w:cs="方正仿宋_GBK"/>
        </w:rPr>
        <w:fldChar w:fldCharType="end"/>
      </w:r>
      <w:r>
        <w:rPr>
          <w:rFonts w:hint="eastAsia" w:ascii="方正仿宋_GBK" w:hAnsi="方正仿宋_GBK" w:eastAsia="方正仿宋_GBK" w:cs="方正仿宋_GBK"/>
        </w:rPr>
        <w:fldChar w:fldCharType="end"/>
      </w:r>
    </w:p>
    <w:p w14:paraId="3BCB9B15">
      <w:pPr>
        <w:pStyle w:val="16"/>
        <w:tabs>
          <w:tab w:val="right" w:leader="dot" w:pos="9610"/>
        </w:tabs>
        <w:rPr>
          <w:rFonts w:ascii="方正仿宋_GBK" w:hAnsi="方正仿宋_GBK" w:eastAsia="方正仿宋_GBK" w:cs="方正仿宋_GBK"/>
        </w:rPr>
      </w:pPr>
      <w:r>
        <w:fldChar w:fldCharType="begin"/>
      </w:r>
      <w:r>
        <w:instrText xml:space="preserve"> HYPERLINK \l "_Toc19146" </w:instrText>
      </w:r>
      <w:r>
        <w:fldChar w:fldCharType="separate"/>
      </w:r>
      <w:r>
        <w:rPr>
          <w:rFonts w:hint="eastAsia" w:ascii="方正仿宋_GBK" w:hAnsi="方正仿宋_GBK" w:eastAsia="方正仿宋_GBK" w:cs="方正仿宋_GBK"/>
          <w:bCs/>
          <w:szCs w:val="28"/>
        </w:rPr>
        <w:t>第四部分 合同条款</w:t>
      </w:r>
      <w:r>
        <w:rPr>
          <w:rFonts w:hint="eastAsia" w:ascii="方正仿宋_GBK" w:hAnsi="方正仿宋_GBK" w:eastAsia="方正仿宋_GBK" w:cs="方正仿宋_GBK"/>
        </w:rPr>
        <w:tab/>
      </w: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PAGEREF _Toc19146 \h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lang w:val="en-US" w:eastAsia="zh-CN"/>
        </w:rPr>
        <w:t>20</w:t>
      </w:r>
      <w:r>
        <w:rPr>
          <w:rFonts w:hint="eastAsia" w:ascii="方正仿宋_GBK" w:hAnsi="方正仿宋_GBK" w:eastAsia="方正仿宋_GBK" w:cs="方正仿宋_GBK"/>
        </w:rPr>
        <w:fldChar w:fldCharType="end"/>
      </w:r>
      <w:r>
        <w:rPr>
          <w:rFonts w:hint="eastAsia" w:ascii="方正仿宋_GBK" w:hAnsi="方正仿宋_GBK" w:eastAsia="方正仿宋_GBK" w:cs="方正仿宋_GBK"/>
        </w:rPr>
        <w:fldChar w:fldCharType="end"/>
      </w:r>
    </w:p>
    <w:p w14:paraId="5AA3F9FA">
      <w:pPr>
        <w:pStyle w:val="51"/>
        <w:tabs>
          <w:tab w:val="right" w:leader="dot" w:pos="9610"/>
        </w:tabs>
        <w:spacing w:line="360" w:lineRule="auto"/>
        <w:jc w:val="center"/>
      </w:pPr>
      <w:r>
        <w:fldChar w:fldCharType="end"/>
      </w:r>
    </w:p>
    <w:p w14:paraId="147BD94F">
      <w:pPr>
        <w:spacing w:line="360" w:lineRule="auto"/>
        <w:jc w:val="center"/>
        <w:outlineLvl w:val="0"/>
        <w:rPr>
          <w:rFonts w:ascii="宋体"/>
          <w:b/>
          <w:bCs/>
          <w:sz w:val="28"/>
          <w:szCs w:val="28"/>
        </w:rPr>
      </w:pPr>
    </w:p>
    <w:p w14:paraId="73B4F2A9">
      <w:pPr>
        <w:spacing w:line="360" w:lineRule="auto"/>
        <w:jc w:val="center"/>
        <w:outlineLvl w:val="0"/>
        <w:rPr>
          <w:rFonts w:ascii="宋体"/>
          <w:b/>
          <w:bCs/>
          <w:sz w:val="28"/>
          <w:szCs w:val="28"/>
        </w:rPr>
      </w:pPr>
    </w:p>
    <w:p w14:paraId="3A14C907">
      <w:pPr>
        <w:spacing w:line="360" w:lineRule="auto"/>
        <w:jc w:val="center"/>
        <w:outlineLvl w:val="0"/>
        <w:rPr>
          <w:rFonts w:ascii="宋体"/>
          <w:b/>
          <w:bCs/>
          <w:sz w:val="28"/>
          <w:szCs w:val="28"/>
        </w:rPr>
      </w:pPr>
    </w:p>
    <w:p w14:paraId="2F7369CF">
      <w:pPr>
        <w:spacing w:line="360" w:lineRule="auto"/>
        <w:jc w:val="center"/>
        <w:outlineLvl w:val="0"/>
        <w:rPr>
          <w:rFonts w:ascii="宋体"/>
          <w:b/>
          <w:bCs/>
          <w:sz w:val="28"/>
          <w:szCs w:val="28"/>
        </w:rPr>
      </w:pPr>
    </w:p>
    <w:p w14:paraId="5C21AE59">
      <w:pPr>
        <w:spacing w:line="360" w:lineRule="auto"/>
        <w:jc w:val="center"/>
        <w:outlineLvl w:val="0"/>
        <w:rPr>
          <w:rFonts w:ascii="宋体"/>
          <w:b/>
          <w:bCs/>
          <w:sz w:val="28"/>
          <w:szCs w:val="28"/>
        </w:rPr>
      </w:pPr>
    </w:p>
    <w:p w14:paraId="2EA2FDC9">
      <w:pPr>
        <w:spacing w:line="360" w:lineRule="auto"/>
        <w:jc w:val="center"/>
        <w:outlineLvl w:val="0"/>
        <w:rPr>
          <w:rFonts w:ascii="宋体"/>
          <w:b/>
          <w:bCs/>
          <w:sz w:val="28"/>
          <w:szCs w:val="28"/>
        </w:rPr>
      </w:pPr>
    </w:p>
    <w:p w14:paraId="506D8C1E">
      <w:pPr>
        <w:spacing w:line="360" w:lineRule="auto"/>
        <w:jc w:val="center"/>
        <w:outlineLvl w:val="0"/>
        <w:rPr>
          <w:rFonts w:ascii="宋体"/>
          <w:b/>
          <w:bCs/>
          <w:sz w:val="28"/>
          <w:szCs w:val="28"/>
        </w:rPr>
      </w:pPr>
    </w:p>
    <w:p w14:paraId="050C85ED">
      <w:pPr>
        <w:spacing w:line="360" w:lineRule="auto"/>
        <w:jc w:val="center"/>
        <w:outlineLvl w:val="0"/>
        <w:rPr>
          <w:rFonts w:ascii="宋体"/>
          <w:b/>
          <w:bCs/>
          <w:sz w:val="28"/>
          <w:szCs w:val="28"/>
        </w:rPr>
      </w:pPr>
    </w:p>
    <w:p w14:paraId="399DCF59">
      <w:pPr>
        <w:spacing w:line="360" w:lineRule="auto"/>
        <w:jc w:val="center"/>
        <w:outlineLvl w:val="0"/>
        <w:rPr>
          <w:rFonts w:ascii="宋体"/>
          <w:b/>
          <w:bCs/>
          <w:sz w:val="28"/>
          <w:szCs w:val="28"/>
        </w:rPr>
      </w:pPr>
    </w:p>
    <w:p w14:paraId="13C2F77F">
      <w:pPr>
        <w:spacing w:line="360" w:lineRule="auto"/>
        <w:jc w:val="center"/>
        <w:outlineLvl w:val="0"/>
        <w:rPr>
          <w:rFonts w:ascii="宋体"/>
          <w:b/>
          <w:bCs/>
          <w:sz w:val="28"/>
          <w:szCs w:val="28"/>
        </w:rPr>
      </w:pPr>
    </w:p>
    <w:p w14:paraId="6E0BA254">
      <w:pPr>
        <w:spacing w:line="360" w:lineRule="auto"/>
        <w:jc w:val="center"/>
        <w:outlineLvl w:val="0"/>
        <w:rPr>
          <w:rFonts w:ascii="宋体"/>
          <w:b/>
          <w:bCs/>
          <w:sz w:val="28"/>
          <w:szCs w:val="28"/>
        </w:rPr>
      </w:pPr>
    </w:p>
    <w:p w14:paraId="503302FC">
      <w:pPr>
        <w:spacing w:line="360" w:lineRule="auto"/>
        <w:jc w:val="center"/>
        <w:outlineLvl w:val="0"/>
        <w:rPr>
          <w:rFonts w:ascii="宋体"/>
          <w:b/>
          <w:bCs/>
          <w:sz w:val="28"/>
          <w:szCs w:val="28"/>
        </w:rPr>
      </w:pPr>
    </w:p>
    <w:p w14:paraId="233009C0">
      <w:pPr>
        <w:spacing w:line="360" w:lineRule="auto"/>
        <w:jc w:val="center"/>
        <w:outlineLvl w:val="0"/>
        <w:rPr>
          <w:rFonts w:ascii="宋体"/>
          <w:b/>
          <w:bCs/>
          <w:sz w:val="28"/>
          <w:szCs w:val="28"/>
        </w:rPr>
      </w:pPr>
    </w:p>
    <w:p w14:paraId="4098AA15">
      <w:pPr>
        <w:spacing w:line="360" w:lineRule="auto"/>
        <w:jc w:val="center"/>
        <w:outlineLvl w:val="0"/>
        <w:rPr>
          <w:rFonts w:ascii="宋体"/>
          <w:b/>
          <w:bCs/>
          <w:sz w:val="28"/>
          <w:szCs w:val="28"/>
        </w:rPr>
      </w:pPr>
    </w:p>
    <w:p w14:paraId="6676F6A8">
      <w:pPr>
        <w:spacing w:line="360" w:lineRule="auto"/>
        <w:jc w:val="center"/>
        <w:outlineLvl w:val="0"/>
        <w:rPr>
          <w:rFonts w:ascii="宋体"/>
          <w:b/>
          <w:bCs/>
          <w:sz w:val="28"/>
          <w:szCs w:val="28"/>
        </w:rPr>
      </w:pPr>
    </w:p>
    <w:p w14:paraId="5D8C0D07">
      <w:pPr>
        <w:spacing w:line="360" w:lineRule="auto"/>
        <w:jc w:val="center"/>
        <w:outlineLvl w:val="0"/>
        <w:rPr>
          <w:rFonts w:ascii="宋体"/>
          <w:b/>
          <w:bCs/>
          <w:sz w:val="28"/>
          <w:szCs w:val="28"/>
        </w:rPr>
      </w:pPr>
    </w:p>
    <w:p w14:paraId="5779C88E">
      <w:pPr>
        <w:spacing w:line="360" w:lineRule="auto"/>
        <w:jc w:val="center"/>
        <w:outlineLvl w:val="0"/>
        <w:rPr>
          <w:rFonts w:ascii="宋体"/>
          <w:b/>
          <w:bCs/>
          <w:sz w:val="28"/>
          <w:szCs w:val="28"/>
        </w:rPr>
      </w:pPr>
    </w:p>
    <w:p w14:paraId="0BEAC790">
      <w:pPr>
        <w:spacing w:line="360" w:lineRule="auto"/>
        <w:jc w:val="center"/>
        <w:outlineLvl w:val="0"/>
        <w:rPr>
          <w:rFonts w:ascii="宋体"/>
          <w:b/>
          <w:bCs/>
          <w:sz w:val="28"/>
          <w:szCs w:val="28"/>
        </w:rPr>
        <w:sectPr>
          <w:footerReference r:id="rId4" w:type="first"/>
          <w:footerReference r:id="rId3" w:type="default"/>
          <w:pgSz w:w="11906" w:h="16838"/>
          <w:pgMar w:top="1276" w:right="1162" w:bottom="1135" w:left="1134" w:header="851" w:footer="992" w:gutter="0"/>
          <w:pgNumType w:start="1"/>
          <w:cols w:space="720" w:num="1"/>
          <w:docGrid w:type="lines" w:linePitch="312" w:charSpace="0"/>
        </w:sectPr>
      </w:pPr>
    </w:p>
    <w:p w14:paraId="37681D55">
      <w:pPr>
        <w:spacing w:line="360" w:lineRule="auto"/>
        <w:outlineLvl w:val="0"/>
        <w:rPr>
          <w:rFonts w:ascii="宋体"/>
          <w:b/>
          <w:bCs/>
          <w:sz w:val="28"/>
          <w:szCs w:val="28"/>
        </w:rPr>
      </w:pPr>
    </w:p>
    <w:p w14:paraId="02724108">
      <w:pPr>
        <w:spacing w:line="360" w:lineRule="auto"/>
        <w:jc w:val="center"/>
        <w:outlineLvl w:val="0"/>
        <w:rPr>
          <w:rFonts w:ascii="宋体" w:hAnsi="宋体" w:cs="宋体"/>
          <w:b/>
          <w:bCs/>
          <w:sz w:val="28"/>
          <w:szCs w:val="28"/>
          <w:highlight w:val="none"/>
        </w:rPr>
      </w:pPr>
      <w:bookmarkStart w:id="0" w:name="_Toc30924"/>
      <w:r>
        <w:rPr>
          <w:rFonts w:hint="eastAsia" w:ascii="宋体" w:hAnsi="宋体" w:cs="宋体"/>
          <w:b/>
          <w:bCs/>
          <w:sz w:val="28"/>
          <w:szCs w:val="28"/>
          <w:highlight w:val="none"/>
        </w:rPr>
        <w:t>第一部分 询比公告</w:t>
      </w:r>
      <w:bookmarkEnd w:id="0"/>
    </w:p>
    <w:p w14:paraId="43152830">
      <w:pPr>
        <w:spacing w:line="400" w:lineRule="exact"/>
        <w:ind w:firstLine="422" w:firstLineChars="200"/>
        <w:jc w:val="center"/>
        <w:rPr>
          <w:rFonts w:hint="eastAsia" w:ascii="宋体" w:hAnsi="宋体" w:eastAsia="宋体" w:cs="宋体"/>
          <w:b/>
          <w:bCs/>
          <w:sz w:val="28"/>
          <w:szCs w:val="28"/>
          <w:highlight w:val="none"/>
          <w:lang w:eastAsia="zh-CN"/>
        </w:rPr>
      </w:pPr>
      <w:bookmarkStart w:id="1" w:name="_Toc21929"/>
      <w:bookmarkStart w:id="2" w:name="_Toc120633464"/>
      <w:r>
        <w:rPr>
          <w:rFonts w:hint="eastAsia" w:ascii="宋体" w:hAnsi="宋体" w:cs="宋体"/>
          <w:b/>
          <w:bCs/>
          <w:highlight w:val="none"/>
          <w:lang w:eastAsia="zh-CN"/>
        </w:rPr>
        <w:t>重庆市工程管理有限公司审计服务采购（第二次）</w:t>
      </w:r>
    </w:p>
    <w:p w14:paraId="4E25508B">
      <w:pPr>
        <w:spacing w:line="400" w:lineRule="exact"/>
        <w:ind w:firstLine="420" w:firstLineChars="200"/>
        <w:rPr>
          <w:rFonts w:ascii="宋体"/>
          <w:sz w:val="24"/>
          <w:szCs w:val="24"/>
          <w:highlight w:val="none"/>
          <w:u w:val="single"/>
        </w:rPr>
      </w:pPr>
      <w:r>
        <w:rPr>
          <w:rFonts w:hint="eastAsia" w:ascii="宋体" w:hAnsi="宋体" w:cs="宋体"/>
          <w:highlight w:val="none"/>
        </w:rPr>
        <w:t>为规范询比行为，本着公平、公正的原则，拟对</w:t>
      </w:r>
      <w:r>
        <w:rPr>
          <w:rFonts w:hint="eastAsia" w:ascii="宋体" w:hAnsi="宋体" w:cs="宋体"/>
          <w:highlight w:val="none"/>
          <w:u w:val="single"/>
          <w:lang w:eastAsia="zh-CN"/>
        </w:rPr>
        <w:t>重庆市工程管理有限公司审计服务采购（第二次）</w:t>
      </w:r>
      <w:r>
        <w:rPr>
          <w:rFonts w:hint="eastAsia" w:ascii="宋体" w:hAnsi="宋体" w:cs="宋体"/>
          <w:highlight w:val="none"/>
          <w:u w:val="single"/>
        </w:rPr>
        <w:t>（项目名称）</w:t>
      </w:r>
      <w:r>
        <w:rPr>
          <w:rFonts w:hint="eastAsia" w:ascii="宋体" w:hAnsi="宋体" w:cs="宋体"/>
          <w:highlight w:val="none"/>
        </w:rPr>
        <w:t>竞选，资金来源：</w:t>
      </w:r>
      <w:r>
        <w:rPr>
          <w:rFonts w:hint="eastAsia" w:ascii="宋体" w:hAnsi="宋体" w:cs="宋体"/>
          <w:highlight w:val="none"/>
          <w:u w:val="single"/>
        </w:rPr>
        <w:t>企业自筹</w:t>
      </w:r>
      <w:r>
        <w:rPr>
          <w:rFonts w:hint="eastAsia" w:ascii="宋体" w:hAnsi="宋体" w:cs="宋体"/>
          <w:highlight w:val="none"/>
        </w:rPr>
        <w:t>，资金落实情况：</w:t>
      </w:r>
      <w:r>
        <w:rPr>
          <w:rFonts w:hint="eastAsia" w:ascii="宋体" w:hAnsi="宋体" w:cs="宋体"/>
          <w:highlight w:val="none"/>
          <w:u w:val="single"/>
        </w:rPr>
        <w:t>已落实</w:t>
      </w:r>
      <w:r>
        <w:rPr>
          <w:rFonts w:hint="eastAsia" w:ascii="宋体" w:hAnsi="宋体" w:cs="宋体"/>
          <w:highlight w:val="none"/>
        </w:rPr>
        <w:t>，将在</w:t>
      </w:r>
      <w:r>
        <w:rPr>
          <w:rFonts w:hint="eastAsia"/>
          <w:highlight w:val="none"/>
        </w:rPr>
        <w:t>渝e招阳光智采平台（www.yangguangguoqi.com）上采用</w:t>
      </w:r>
      <w:r>
        <w:rPr>
          <w:rFonts w:hint="eastAsia" w:ascii="宋体" w:hAnsi="宋体" w:cs="宋体"/>
          <w:highlight w:val="none"/>
          <w:u w:val="single"/>
        </w:rPr>
        <w:t>询比采购（公开）</w:t>
      </w:r>
      <w:r>
        <w:rPr>
          <w:rFonts w:hint="eastAsia" w:ascii="宋体" w:hAnsi="宋体" w:cs="宋体"/>
          <w:highlight w:val="none"/>
        </w:rPr>
        <w:t>的方式择优选定服务单位。</w:t>
      </w:r>
      <w:bookmarkEnd w:id="1"/>
      <w:bookmarkEnd w:id="2"/>
      <w:r>
        <w:rPr>
          <w:rFonts w:hint="eastAsia" w:ascii="宋体" w:hAnsi="宋体" w:cs="宋体"/>
          <w:highlight w:val="none"/>
        </w:rPr>
        <w:t>现特邀请符合条件的潜在供应商参与竞选。</w:t>
      </w:r>
    </w:p>
    <w:p w14:paraId="47AA5DB1">
      <w:pPr>
        <w:spacing w:line="400" w:lineRule="exact"/>
        <w:ind w:firstLine="422" w:firstLineChars="200"/>
        <w:rPr>
          <w:rFonts w:hint="eastAsia" w:ascii="宋体" w:hAnsi="宋体" w:eastAsia="宋体" w:cs="宋体"/>
          <w:bCs/>
          <w:highlight w:val="none"/>
          <w:lang w:eastAsia="zh-CN"/>
        </w:rPr>
      </w:pPr>
      <w:r>
        <w:rPr>
          <w:rFonts w:hint="eastAsia" w:ascii="宋体" w:hAnsi="宋体" w:cs="宋体"/>
          <w:b/>
          <w:bCs/>
          <w:highlight w:val="none"/>
        </w:rPr>
        <w:t>1、项目名称：</w:t>
      </w:r>
      <w:r>
        <w:rPr>
          <w:rFonts w:hint="eastAsia" w:ascii="宋体" w:hAnsi="宋体" w:cs="宋体"/>
          <w:b/>
          <w:bCs/>
          <w:highlight w:val="none"/>
          <w:u w:val="single"/>
          <w:lang w:eastAsia="zh-CN"/>
        </w:rPr>
        <w:t>重庆市工程管理有限公司审计服务采购（第二次）</w:t>
      </w:r>
    </w:p>
    <w:p w14:paraId="2DD0C81A">
      <w:pPr>
        <w:spacing w:line="400" w:lineRule="exact"/>
        <w:ind w:firstLine="422" w:firstLineChars="200"/>
        <w:rPr>
          <w:rFonts w:ascii="宋体" w:hAnsi="宋体" w:cs="宋体"/>
          <w:highlight w:val="none"/>
        </w:rPr>
      </w:pPr>
      <w:r>
        <w:rPr>
          <w:rFonts w:hint="eastAsia" w:ascii="宋体" w:hAnsi="宋体" w:cs="宋体"/>
          <w:b/>
          <w:bCs/>
          <w:highlight w:val="none"/>
        </w:rPr>
        <w:t>2、项目概况：</w:t>
      </w:r>
    </w:p>
    <w:p w14:paraId="4A0608E0">
      <w:pPr>
        <w:adjustRightInd w:val="0"/>
        <w:snapToGrid w:val="0"/>
        <w:spacing w:line="400" w:lineRule="exact"/>
        <w:ind w:firstLine="420" w:firstLineChars="200"/>
        <w:rPr>
          <w:rFonts w:ascii="宋体" w:hAnsi="宋体" w:cs="宋体"/>
          <w:highlight w:val="none"/>
        </w:rPr>
      </w:pPr>
      <w:r>
        <w:rPr>
          <w:rFonts w:hint="eastAsia" w:ascii="宋体" w:hAnsi="宋体" w:cs="宋体"/>
          <w:highlight w:val="none"/>
        </w:rPr>
        <w:t>2.1、项目范围及内容：</w:t>
      </w:r>
    </w:p>
    <w:p w14:paraId="10450102">
      <w:pPr>
        <w:adjustRightInd w:val="0"/>
        <w:snapToGrid w:val="0"/>
        <w:spacing w:line="400" w:lineRule="exact"/>
        <w:ind w:firstLine="420" w:firstLineChars="200"/>
        <w:rPr>
          <w:rFonts w:ascii="宋体" w:hAnsi="宋体" w:cs="宋体"/>
          <w:highlight w:val="none"/>
        </w:rPr>
      </w:pPr>
      <w:r>
        <w:rPr>
          <w:rFonts w:hint="eastAsia" w:ascii="宋体" w:hAnsi="宋体" w:cs="宋体"/>
          <w:highlight w:val="none"/>
        </w:rPr>
        <w:t>2.1.1开展6项经济责任审计：核查公司下属子公司领导人员任职期间贯彻执行党和国家经济方针政策、决策部署情况；公司发展战略规划的制定、执行和效果情况；重大经济事项的决策、执行和效果情况；公司法人治理结构的建立、健全和运行情况，内部控制制度的制定和执行情况；公司财务的真实合法效益情况，风险管控情况；资产的管理及保值增值情况；完成工管公司下达考核任务情况；内部考核分配制度建立及执行情况；企业工资发放情况及本人薪酬发放情况；经济活动中落实有关党风廉政建设责任和遵守从业规定情况；参股投资、与参股企业关联交易等有关事项；以往审计发现问题的整改情况等经济责任履行情况，出具规范正式审计报告及全套工作底稿。</w:t>
      </w:r>
    </w:p>
    <w:p w14:paraId="618DF327">
      <w:pPr>
        <w:adjustRightInd w:val="0"/>
        <w:snapToGrid w:val="0"/>
        <w:spacing w:line="400" w:lineRule="exact"/>
        <w:ind w:firstLine="420" w:firstLineChars="200"/>
        <w:rPr>
          <w:rFonts w:ascii="宋体" w:hAnsi="宋体" w:cs="宋体"/>
          <w:highlight w:val="none"/>
        </w:rPr>
      </w:pPr>
      <w:bookmarkStart w:id="3" w:name="OLE_LINK5"/>
      <w:bookmarkStart w:id="4" w:name="OLE_LINK4"/>
      <w:r>
        <w:rPr>
          <w:rFonts w:hint="eastAsia" w:ascii="宋体" w:hAnsi="宋体" w:cs="宋体"/>
          <w:highlight w:val="none"/>
        </w:rPr>
        <w:t>2</w:t>
      </w:r>
      <w:r>
        <w:rPr>
          <w:rFonts w:ascii="宋体" w:hAnsi="宋体" w:cs="宋体"/>
          <w:highlight w:val="none"/>
        </w:rPr>
        <w:t xml:space="preserve">.1.1.1 </w:t>
      </w:r>
      <w:r>
        <w:rPr>
          <w:rFonts w:hint="eastAsia" w:ascii="宋体" w:hAnsi="宋体" w:cs="宋体"/>
          <w:highlight w:val="none"/>
        </w:rPr>
        <w:t>宜昌区域子（分）公司原总经理何小锋同志离任经济责任审计（湖北西陵工程管理有限公司、重庆市工程管理有限公司湖北宜昌分公司、重庆市工程管理有限公司夷陵分公司），审计期间：2023年1月1日—2025年9月30日，公司注册地址：宜昌市西陵区西湖路32号。</w:t>
      </w:r>
    </w:p>
    <w:p w14:paraId="209F5127">
      <w:pPr>
        <w:adjustRightInd w:val="0"/>
        <w:snapToGrid w:val="0"/>
        <w:spacing w:line="400" w:lineRule="exact"/>
        <w:ind w:firstLine="420" w:firstLineChars="200"/>
        <w:rPr>
          <w:rFonts w:ascii="宋体" w:hAnsi="宋体" w:cs="宋体"/>
          <w:highlight w:val="none"/>
        </w:rPr>
      </w:pPr>
      <w:r>
        <w:rPr>
          <w:rFonts w:hint="eastAsia" w:ascii="宋体" w:hAnsi="宋体" w:cs="宋体"/>
          <w:highlight w:val="none"/>
        </w:rPr>
        <w:t>2</w:t>
      </w:r>
      <w:r>
        <w:rPr>
          <w:rFonts w:ascii="宋体" w:hAnsi="宋体" w:cs="宋体"/>
          <w:highlight w:val="none"/>
        </w:rPr>
        <w:t xml:space="preserve">.1.1.2 </w:t>
      </w:r>
      <w:r>
        <w:rPr>
          <w:rFonts w:hint="eastAsia" w:ascii="宋体" w:hAnsi="宋体" w:cs="宋体"/>
          <w:highlight w:val="none"/>
        </w:rPr>
        <w:t>重庆明润工程管理有限公司原总经理黄晓东同志离任经济责任审计，审计期间：2023年1月1日—2024年3月31日，公司注册地址：重庆市璧山区璧泉街道双星大道50号1幢12-1、12-2。</w:t>
      </w:r>
    </w:p>
    <w:p w14:paraId="78D1BD4A">
      <w:pPr>
        <w:adjustRightInd w:val="0"/>
        <w:snapToGrid w:val="0"/>
        <w:spacing w:line="400" w:lineRule="exact"/>
        <w:ind w:firstLine="420" w:firstLineChars="200"/>
        <w:rPr>
          <w:rFonts w:ascii="宋体" w:hAnsi="宋体" w:cs="宋体"/>
          <w:highlight w:val="none"/>
        </w:rPr>
      </w:pPr>
      <w:r>
        <w:rPr>
          <w:rFonts w:hint="eastAsia" w:ascii="宋体" w:hAnsi="宋体" w:cs="宋体"/>
          <w:highlight w:val="none"/>
        </w:rPr>
        <w:t>2</w:t>
      </w:r>
      <w:r>
        <w:rPr>
          <w:rFonts w:ascii="宋体" w:hAnsi="宋体" w:cs="宋体"/>
          <w:highlight w:val="none"/>
        </w:rPr>
        <w:t xml:space="preserve">.1.1.3 </w:t>
      </w:r>
      <w:r>
        <w:rPr>
          <w:rFonts w:hint="eastAsia" w:ascii="宋体" w:hAnsi="宋体" w:cs="宋体"/>
          <w:highlight w:val="none"/>
        </w:rPr>
        <w:t>重庆明润工程管理有限公司总经理何薇同志任期经济责任审计，审计期间：2024年4月1日—2026年4月30日，公司注册地址：重庆市璧山区璧泉街道双星大道50号1幢12-1、12-2。</w:t>
      </w:r>
    </w:p>
    <w:p w14:paraId="2208E5E2">
      <w:pPr>
        <w:adjustRightInd w:val="0"/>
        <w:snapToGrid w:val="0"/>
        <w:spacing w:line="400" w:lineRule="exact"/>
        <w:ind w:firstLine="420" w:firstLineChars="200"/>
        <w:rPr>
          <w:rFonts w:ascii="宋体" w:hAnsi="宋体" w:cs="宋体"/>
          <w:highlight w:val="none"/>
        </w:rPr>
      </w:pPr>
      <w:r>
        <w:rPr>
          <w:rFonts w:hint="eastAsia" w:ascii="宋体" w:hAnsi="宋体" w:cs="宋体"/>
          <w:highlight w:val="none"/>
        </w:rPr>
        <w:t>2</w:t>
      </w:r>
      <w:r>
        <w:rPr>
          <w:rFonts w:ascii="宋体" w:hAnsi="宋体" w:cs="宋体"/>
          <w:highlight w:val="none"/>
        </w:rPr>
        <w:t xml:space="preserve">.1.1.4 </w:t>
      </w:r>
      <w:r>
        <w:rPr>
          <w:rFonts w:hint="eastAsia" w:ascii="宋体" w:hAnsi="宋体" w:cs="宋体"/>
          <w:highlight w:val="none"/>
        </w:rPr>
        <w:t>重庆黔中道工程管理有限公司董事长刘森同志任期经济责任审计，审计期间：2023年7月20日—2026年7月31日，公司注册地址：重庆市彭水苗族土家族自治县绍庆街道滨江路179号A区商业负2-21、2-22、2-23。</w:t>
      </w:r>
    </w:p>
    <w:p w14:paraId="0E0724BD">
      <w:pPr>
        <w:adjustRightInd w:val="0"/>
        <w:snapToGrid w:val="0"/>
        <w:spacing w:line="400" w:lineRule="exact"/>
        <w:ind w:firstLine="420" w:firstLineChars="200"/>
        <w:rPr>
          <w:rFonts w:ascii="宋体" w:hAnsi="宋体" w:cs="宋体"/>
          <w:highlight w:val="none"/>
        </w:rPr>
      </w:pPr>
      <w:r>
        <w:rPr>
          <w:rFonts w:hint="eastAsia" w:ascii="宋体" w:hAnsi="宋体" w:cs="宋体"/>
          <w:highlight w:val="none"/>
        </w:rPr>
        <w:t>2</w:t>
      </w:r>
      <w:r>
        <w:rPr>
          <w:rFonts w:ascii="宋体" w:hAnsi="宋体" w:cs="宋体"/>
          <w:highlight w:val="none"/>
        </w:rPr>
        <w:t xml:space="preserve">.1.1.5 </w:t>
      </w:r>
      <w:r>
        <w:rPr>
          <w:rFonts w:hint="eastAsia" w:ascii="宋体" w:hAnsi="宋体" w:cs="宋体"/>
          <w:highlight w:val="none"/>
        </w:rPr>
        <w:t>重庆重咨兴云工程咨询有限公司原总经理杨旭同志离任经济责任审计，审计期间：2022年3月22日—2026年4月30日，公司注册地址：重庆市云阳县青龙路198号。</w:t>
      </w:r>
    </w:p>
    <w:p w14:paraId="7A537D73">
      <w:pPr>
        <w:adjustRightInd w:val="0"/>
        <w:snapToGrid w:val="0"/>
        <w:spacing w:line="400" w:lineRule="exact"/>
        <w:ind w:firstLine="420" w:firstLineChars="200"/>
        <w:rPr>
          <w:rFonts w:hint="eastAsia" w:ascii="宋体" w:hAnsi="宋体" w:cs="宋体"/>
          <w:highlight w:val="none"/>
        </w:rPr>
      </w:pPr>
      <w:r>
        <w:rPr>
          <w:rFonts w:hint="eastAsia" w:ascii="宋体" w:hAnsi="宋体" w:cs="宋体"/>
          <w:highlight w:val="none"/>
        </w:rPr>
        <w:t>2</w:t>
      </w:r>
      <w:r>
        <w:rPr>
          <w:rFonts w:ascii="宋体" w:hAnsi="宋体" w:cs="宋体"/>
          <w:highlight w:val="none"/>
        </w:rPr>
        <w:t xml:space="preserve">.1.1.6 </w:t>
      </w:r>
      <w:r>
        <w:rPr>
          <w:rFonts w:hint="eastAsia" w:ascii="宋体" w:hAnsi="宋体" w:cs="宋体"/>
          <w:highlight w:val="none"/>
        </w:rPr>
        <w:t>重庆丰投工程咨询有限公司原总经理夏斌同志离任经济责任审计，审计期间：2023年7月6日—2026年2月11日，公司注册地址：重庆市丰都县久桓大道244号附14号</w:t>
      </w:r>
      <w:bookmarkEnd w:id="3"/>
      <w:bookmarkEnd w:id="4"/>
      <w:r>
        <w:rPr>
          <w:rFonts w:hint="eastAsia" w:ascii="宋体" w:hAnsi="宋体" w:cs="宋体"/>
          <w:highlight w:val="none"/>
        </w:rPr>
        <w:t>。</w:t>
      </w:r>
    </w:p>
    <w:p w14:paraId="002A585A">
      <w:pPr>
        <w:adjustRightInd w:val="0"/>
        <w:snapToGrid w:val="0"/>
        <w:spacing w:line="400" w:lineRule="exact"/>
        <w:ind w:firstLine="420" w:firstLineChars="200"/>
        <w:rPr>
          <w:rFonts w:ascii="宋体" w:hAnsi="宋体" w:cs="宋体"/>
          <w:highlight w:val="none"/>
        </w:rPr>
      </w:pPr>
      <w:r>
        <w:rPr>
          <w:rFonts w:hint="eastAsia" w:ascii="宋体" w:hAnsi="宋体" w:cs="宋体"/>
          <w:highlight w:val="none"/>
        </w:rPr>
        <w:t>2.1.2开展2025年度万盛经开区三个项目专项审计，核查项目合同履行情况、工程质量安全管理情况、项目进度管控情况、项目用工管理情况，出具规范正式审计报告及全套工作底稿。</w:t>
      </w:r>
    </w:p>
    <w:p w14:paraId="0257F1D8">
      <w:pPr>
        <w:pStyle w:val="2"/>
        <w:rPr>
          <w:sz w:val="21"/>
          <w:szCs w:val="21"/>
          <w:highlight w:val="none"/>
        </w:rPr>
      </w:pPr>
      <w:r>
        <w:rPr>
          <w:rFonts w:hint="eastAsia"/>
          <w:sz w:val="21"/>
          <w:szCs w:val="21"/>
          <w:highlight w:val="none"/>
        </w:rPr>
        <w:t>2</w:t>
      </w:r>
      <w:r>
        <w:rPr>
          <w:sz w:val="21"/>
          <w:szCs w:val="21"/>
          <w:highlight w:val="none"/>
        </w:rPr>
        <w:t>.1.2.1</w:t>
      </w:r>
      <w:r>
        <w:rPr>
          <w:rFonts w:hint="eastAsia"/>
          <w:sz w:val="21"/>
          <w:szCs w:val="21"/>
          <w:highlight w:val="none"/>
        </w:rPr>
        <w:t xml:space="preserve"> 2025年万盛经开区城镇配套基础设施建设项目（全过程工程咨询服务，包含10个子项目），审计期间：2025年5月（合同签订）—2026年6月30日。</w:t>
      </w:r>
    </w:p>
    <w:p w14:paraId="777066A4">
      <w:pPr>
        <w:pStyle w:val="4"/>
        <w:ind w:firstLine="420"/>
        <w:rPr>
          <w:rFonts w:eastAsia="宋体"/>
          <w:color w:val="auto"/>
          <w:sz w:val="21"/>
          <w:szCs w:val="21"/>
          <w:highlight w:val="none"/>
        </w:rPr>
      </w:pPr>
      <w:r>
        <w:rPr>
          <w:rFonts w:hint="eastAsia" w:eastAsia="宋体"/>
          <w:color w:val="auto"/>
          <w:sz w:val="21"/>
          <w:szCs w:val="21"/>
          <w:highlight w:val="none"/>
        </w:rPr>
        <w:t>2</w:t>
      </w:r>
      <w:r>
        <w:rPr>
          <w:rFonts w:eastAsia="宋体"/>
          <w:color w:val="auto"/>
          <w:sz w:val="21"/>
          <w:szCs w:val="21"/>
          <w:highlight w:val="none"/>
        </w:rPr>
        <w:t xml:space="preserve">.1.2.2 </w:t>
      </w:r>
      <w:r>
        <w:rPr>
          <w:rFonts w:hint="eastAsia" w:eastAsia="宋体"/>
          <w:color w:val="auto"/>
          <w:sz w:val="21"/>
          <w:szCs w:val="21"/>
          <w:highlight w:val="none"/>
        </w:rPr>
        <w:t>万盛经开区城市建设配套项目房建类项目（工程监理，包含4个子项目），审计期间：2025年5月（合同签订）—2026年6月30日。</w:t>
      </w:r>
    </w:p>
    <w:p w14:paraId="33BFD3AB">
      <w:pPr>
        <w:pStyle w:val="4"/>
        <w:ind w:firstLine="420"/>
        <w:rPr>
          <w:rFonts w:hint="eastAsia" w:eastAsia="宋体"/>
          <w:color w:val="auto"/>
          <w:sz w:val="21"/>
          <w:szCs w:val="21"/>
          <w:highlight w:val="none"/>
        </w:rPr>
      </w:pPr>
      <w:r>
        <w:rPr>
          <w:rFonts w:hint="eastAsia" w:eastAsia="宋体"/>
          <w:color w:val="auto"/>
          <w:sz w:val="21"/>
          <w:szCs w:val="21"/>
          <w:highlight w:val="none"/>
        </w:rPr>
        <w:t>2</w:t>
      </w:r>
      <w:r>
        <w:rPr>
          <w:rFonts w:eastAsia="宋体"/>
          <w:color w:val="auto"/>
          <w:sz w:val="21"/>
          <w:szCs w:val="21"/>
          <w:highlight w:val="none"/>
        </w:rPr>
        <w:t xml:space="preserve">.1.2.3 </w:t>
      </w:r>
      <w:r>
        <w:rPr>
          <w:rFonts w:hint="eastAsia" w:eastAsia="宋体"/>
          <w:color w:val="auto"/>
          <w:sz w:val="21"/>
          <w:szCs w:val="21"/>
          <w:highlight w:val="none"/>
        </w:rPr>
        <w:t>万盛经开区城市建设配套项目市政类项目（工程监理，包含5个子项目），审计期间：2025年5月（合同签订）—2026年6月30日。</w:t>
      </w:r>
    </w:p>
    <w:p w14:paraId="303613D5">
      <w:pPr>
        <w:adjustRightInd w:val="0"/>
        <w:snapToGrid w:val="0"/>
        <w:spacing w:line="400" w:lineRule="exact"/>
        <w:ind w:firstLine="420" w:firstLineChars="200"/>
        <w:rPr>
          <w:rFonts w:ascii="宋体" w:hAnsi="宋体" w:cs="宋体"/>
          <w:highlight w:val="none"/>
        </w:rPr>
      </w:pPr>
      <w:r>
        <w:rPr>
          <w:rFonts w:hint="eastAsia" w:ascii="宋体" w:hAnsi="宋体" w:cs="宋体"/>
          <w:highlight w:val="none"/>
        </w:rPr>
        <w:t>2.1.3配套支撑服务。提供现场审计、底稿取证、资料答疑；协助梳理整改事项，出具问题优化建议材料。</w:t>
      </w:r>
    </w:p>
    <w:p w14:paraId="742A1864">
      <w:pPr>
        <w:adjustRightInd w:val="0"/>
        <w:snapToGrid w:val="0"/>
        <w:spacing w:line="400" w:lineRule="exact"/>
        <w:ind w:firstLine="422" w:firstLineChars="200"/>
        <w:rPr>
          <w:rFonts w:ascii="宋体" w:hAnsi="宋体" w:cs="宋体"/>
          <w:highlight w:val="none"/>
        </w:rPr>
      </w:pPr>
      <w:r>
        <w:rPr>
          <w:rFonts w:hint="eastAsia" w:ascii="宋体" w:hAnsi="宋体" w:cs="宋体"/>
          <w:b/>
          <w:bCs/>
          <w:highlight w:val="none"/>
        </w:rPr>
        <w:t>2.</w:t>
      </w:r>
      <w:r>
        <w:rPr>
          <w:rFonts w:hint="eastAsia" w:ascii="宋体" w:hAnsi="宋体" w:cs="宋体"/>
          <w:b/>
          <w:bCs/>
          <w:highlight w:val="none"/>
          <w:lang w:val="en-US" w:eastAsia="zh-CN"/>
        </w:rPr>
        <w:t>2、</w:t>
      </w:r>
      <w:r>
        <w:rPr>
          <w:rFonts w:hint="eastAsia" w:ascii="宋体" w:hAnsi="宋体" w:cs="宋体"/>
          <w:b/>
          <w:bCs/>
          <w:highlight w:val="none"/>
        </w:rPr>
        <w:t>本项目最高限价：</w:t>
      </w:r>
      <w:r>
        <w:rPr>
          <w:rFonts w:hint="eastAsia" w:ascii="宋体" w:hAnsi="宋体" w:cs="宋体"/>
          <w:highlight w:val="none"/>
          <w:u w:val="single"/>
        </w:rPr>
        <w:t>2</w:t>
      </w:r>
      <w:r>
        <w:rPr>
          <w:rFonts w:ascii="宋体" w:hAnsi="宋体" w:cs="宋体"/>
          <w:highlight w:val="none"/>
          <w:u w:val="single"/>
        </w:rPr>
        <w:t>0</w:t>
      </w:r>
      <w:r>
        <w:rPr>
          <w:rFonts w:hint="eastAsia" w:ascii="宋体" w:hAnsi="宋体" w:cs="宋体"/>
          <w:highlight w:val="none"/>
          <w:u w:val="single"/>
        </w:rPr>
        <w:t>0000元</w:t>
      </w:r>
      <w:r>
        <w:rPr>
          <w:rFonts w:hint="eastAsia" w:ascii="宋体" w:hAnsi="宋体" w:cs="宋体"/>
          <w:highlight w:val="none"/>
        </w:rPr>
        <w:t>。</w:t>
      </w:r>
    </w:p>
    <w:p w14:paraId="1F64AE99">
      <w:pPr>
        <w:adjustRightInd w:val="0"/>
        <w:snapToGrid w:val="0"/>
        <w:spacing w:line="400" w:lineRule="exact"/>
        <w:ind w:firstLine="422" w:firstLineChars="200"/>
        <w:rPr>
          <w:rFonts w:ascii="宋体" w:hAnsi="宋体" w:cs="宋体"/>
          <w:bCs/>
          <w:highlight w:val="none"/>
        </w:rPr>
      </w:pPr>
      <w:r>
        <w:rPr>
          <w:rFonts w:hint="eastAsia" w:ascii="宋体" w:hAnsi="宋体" w:cs="宋体"/>
          <w:b/>
          <w:bCs/>
          <w:highlight w:val="none"/>
        </w:rPr>
        <w:t>3、服务期：</w:t>
      </w:r>
      <w:r>
        <w:rPr>
          <w:rFonts w:hint="eastAsia" w:ascii="宋体" w:hAnsi="宋体" w:cs="宋体"/>
          <w:highlight w:val="none"/>
        </w:rPr>
        <w:t>从合同签订之日起至2026年年底前完成全部7个审计项目。</w:t>
      </w:r>
    </w:p>
    <w:p w14:paraId="3563D16D">
      <w:pPr>
        <w:spacing w:line="400" w:lineRule="exact"/>
        <w:ind w:firstLine="422" w:firstLineChars="200"/>
        <w:rPr>
          <w:rFonts w:ascii="宋体" w:hAnsi="宋体" w:cs="宋体"/>
          <w:bCs/>
          <w:highlight w:val="none"/>
        </w:rPr>
      </w:pPr>
      <w:r>
        <w:rPr>
          <w:rFonts w:hint="eastAsia" w:ascii="宋体" w:hAnsi="宋体" w:cs="宋体"/>
          <w:b/>
          <w:bCs/>
          <w:highlight w:val="none"/>
        </w:rPr>
        <w:t>4、询比申请人资格条件要求：</w:t>
      </w:r>
    </w:p>
    <w:p w14:paraId="60DF0E09">
      <w:pPr>
        <w:adjustRightInd w:val="0"/>
        <w:snapToGrid w:val="0"/>
        <w:spacing w:line="400" w:lineRule="exact"/>
        <w:ind w:firstLine="420" w:firstLineChars="200"/>
        <w:rPr>
          <w:rFonts w:ascii="宋体" w:hAnsi="宋体" w:cs="宋体"/>
        </w:rPr>
      </w:pPr>
      <w:r>
        <w:rPr>
          <w:rFonts w:hint="eastAsia" w:ascii="宋体" w:hAnsi="宋体" w:cs="宋体"/>
        </w:rPr>
        <w:t>4.1.持有有效的会计师事务所执业证书及营业执照。</w:t>
      </w:r>
    </w:p>
    <w:p w14:paraId="4EA95718">
      <w:pPr>
        <w:adjustRightInd w:val="0"/>
        <w:snapToGrid w:val="0"/>
        <w:spacing w:line="400" w:lineRule="exact"/>
        <w:ind w:firstLine="420" w:firstLineChars="200"/>
        <w:rPr>
          <w:rFonts w:ascii="宋体" w:hAnsi="宋体" w:cs="宋体"/>
          <w:color w:val="000000" w:themeColor="text1"/>
          <w14:textFill>
            <w14:solidFill>
              <w14:schemeClr w14:val="tx1"/>
            </w14:solidFill>
          </w14:textFill>
        </w:rPr>
      </w:pPr>
      <w:r>
        <w:rPr>
          <w:rFonts w:hint="eastAsia" w:ascii="宋体" w:hAnsi="宋体" w:cs="宋体"/>
        </w:rPr>
        <w:t>4.2.信誉要求：询比申请人具有良好的</w:t>
      </w:r>
      <w:r>
        <w:rPr>
          <w:rFonts w:hint="eastAsia" w:ascii="宋体" w:hAnsi="宋体" w:cs="宋体"/>
          <w:color w:val="000000" w:themeColor="text1"/>
          <w14:textFill>
            <w14:solidFill>
              <w14:schemeClr w14:val="tx1"/>
            </w14:solidFill>
          </w14:textFill>
        </w:rPr>
        <w:t>商业信誉和健全的财务会计制度，有依法缴纳税收和社会保障资金的良好记录，且不得存在以下情形之一：</w:t>
      </w:r>
    </w:p>
    <w:p w14:paraId="6F7A5D83">
      <w:pPr>
        <w:adjustRightInd w:val="0"/>
        <w:snapToGrid w:val="0"/>
        <w:spacing w:line="400" w:lineRule="exact"/>
        <w:ind w:firstLine="420" w:firstLineChars="200"/>
        <w:rPr>
          <w:rFonts w:ascii="宋体" w:hAnsi="宋体" w:cs="宋体"/>
        </w:rPr>
      </w:pPr>
      <w:r>
        <w:rPr>
          <w:rFonts w:hint="eastAsia" w:ascii="宋体" w:hAnsi="宋体" w:cs="宋体"/>
        </w:rPr>
        <w:t xml:space="preserve">（1）与采购方存在利害关系且可能影响采购活动公正性； </w:t>
      </w:r>
    </w:p>
    <w:p w14:paraId="216167EC">
      <w:pPr>
        <w:adjustRightInd w:val="0"/>
        <w:snapToGrid w:val="0"/>
        <w:spacing w:line="400" w:lineRule="exact"/>
        <w:ind w:firstLine="420" w:firstLineChars="200"/>
        <w:rPr>
          <w:rFonts w:ascii="宋体" w:hAnsi="宋体" w:cs="宋体"/>
        </w:rPr>
      </w:pPr>
      <w:r>
        <w:rPr>
          <w:rFonts w:hint="eastAsia" w:ascii="宋体" w:hAnsi="宋体" w:cs="宋体"/>
        </w:rPr>
        <w:t xml:space="preserve">（2）与本采购项目的其他供应商为同一个单位负责人； </w:t>
      </w:r>
    </w:p>
    <w:p w14:paraId="4B2EAC96">
      <w:pPr>
        <w:adjustRightInd w:val="0"/>
        <w:snapToGrid w:val="0"/>
        <w:spacing w:line="400" w:lineRule="exact"/>
        <w:ind w:firstLine="420" w:firstLineChars="200"/>
        <w:rPr>
          <w:rFonts w:ascii="宋体" w:hAnsi="宋体" w:cs="宋体"/>
        </w:rPr>
      </w:pPr>
      <w:r>
        <w:rPr>
          <w:rFonts w:hint="eastAsia" w:ascii="宋体" w:hAnsi="宋体" w:cs="宋体"/>
        </w:rPr>
        <w:t xml:space="preserve">（3）与本采购项目的其他供应商存在控股、管理关系； </w:t>
      </w:r>
    </w:p>
    <w:p w14:paraId="4E1D1263">
      <w:pPr>
        <w:adjustRightInd w:val="0"/>
        <w:snapToGrid w:val="0"/>
        <w:spacing w:line="400" w:lineRule="exact"/>
        <w:ind w:firstLine="420" w:firstLineChars="200"/>
        <w:rPr>
          <w:rFonts w:ascii="宋体" w:hAnsi="宋体" w:cs="宋体"/>
        </w:rPr>
      </w:pPr>
      <w:r>
        <w:rPr>
          <w:rFonts w:hint="eastAsia" w:ascii="宋体" w:hAnsi="宋体" w:cs="宋体"/>
        </w:rPr>
        <w:t xml:space="preserve">（4）被依法暂停或者取消投标资格； </w:t>
      </w:r>
    </w:p>
    <w:p w14:paraId="44668255">
      <w:pPr>
        <w:adjustRightInd w:val="0"/>
        <w:snapToGrid w:val="0"/>
        <w:spacing w:line="400" w:lineRule="exact"/>
        <w:ind w:firstLine="420" w:firstLineChars="200"/>
        <w:rPr>
          <w:rFonts w:ascii="宋体" w:hAnsi="宋体" w:cs="宋体"/>
        </w:rPr>
      </w:pPr>
      <w:r>
        <w:rPr>
          <w:rFonts w:hint="eastAsia" w:ascii="宋体" w:hAnsi="宋体" w:cs="宋体"/>
        </w:rPr>
        <w:t xml:space="preserve">（5）被其他采购方列入黑名单并在其官网公布的； </w:t>
      </w:r>
    </w:p>
    <w:p w14:paraId="17D19087">
      <w:pPr>
        <w:adjustRightInd w:val="0"/>
        <w:snapToGrid w:val="0"/>
        <w:spacing w:line="400" w:lineRule="exact"/>
        <w:ind w:firstLine="420" w:firstLineChars="200"/>
        <w:rPr>
          <w:rFonts w:ascii="宋体" w:hAnsi="宋体" w:cs="宋体"/>
        </w:rPr>
      </w:pPr>
      <w:r>
        <w:rPr>
          <w:rFonts w:hint="eastAsia" w:ascii="宋体" w:hAnsi="宋体" w:cs="宋体"/>
        </w:rPr>
        <w:t xml:space="preserve">（6）被责令停产停业、暂扣或者吊销许可证、暂扣或者吊销执照； </w:t>
      </w:r>
    </w:p>
    <w:p w14:paraId="342AF132">
      <w:pPr>
        <w:adjustRightInd w:val="0"/>
        <w:snapToGrid w:val="0"/>
        <w:spacing w:line="400" w:lineRule="exact"/>
        <w:ind w:firstLine="420" w:firstLineChars="200"/>
        <w:rPr>
          <w:rFonts w:ascii="宋体" w:hAnsi="宋体" w:cs="宋体"/>
        </w:rPr>
      </w:pPr>
      <w:r>
        <w:rPr>
          <w:rFonts w:hint="eastAsia" w:ascii="宋体" w:hAnsi="宋体" w:cs="宋体"/>
        </w:rPr>
        <w:t xml:space="preserve">（7）进入清算程序，或被宣告破产，或其他丧失履约能力的情形； </w:t>
      </w:r>
    </w:p>
    <w:p w14:paraId="35EBB0B0">
      <w:pPr>
        <w:adjustRightInd w:val="0"/>
        <w:snapToGrid w:val="0"/>
        <w:spacing w:line="400" w:lineRule="exact"/>
        <w:ind w:firstLine="420" w:firstLineChars="200"/>
        <w:rPr>
          <w:rFonts w:ascii="宋体" w:hAnsi="宋体" w:cs="宋体"/>
        </w:rPr>
      </w:pPr>
      <w:r>
        <w:rPr>
          <w:rFonts w:hint="eastAsia" w:ascii="宋体" w:hAnsi="宋体" w:cs="宋体"/>
        </w:rPr>
        <w:t xml:space="preserve">（8）在最近三年内发生重大审计执业质量问题、行政处罚记录； </w:t>
      </w:r>
    </w:p>
    <w:p w14:paraId="08313676">
      <w:pPr>
        <w:adjustRightInd w:val="0"/>
        <w:snapToGrid w:val="0"/>
        <w:spacing w:line="400" w:lineRule="exact"/>
        <w:ind w:left="420" w:leftChars="200"/>
        <w:rPr>
          <w:rFonts w:ascii="宋体" w:hAnsi="宋体" w:cs="宋体"/>
          <w:highlight w:val="none"/>
        </w:rPr>
      </w:pPr>
      <w:r>
        <w:rPr>
          <w:rFonts w:hint="eastAsia" w:ascii="宋体" w:hAnsi="宋体" w:cs="宋体"/>
        </w:rPr>
        <w:t>（9）被市场监督管理机关在全国企业信用信息公示系统中列入经营异常、严重违法失信企业名单； （10）近三年存在注册会计师行业主管部门作出的行政处罚、行业惩戒记录。</w:t>
      </w:r>
    </w:p>
    <w:p w14:paraId="0F8C6C9B">
      <w:pPr>
        <w:pStyle w:val="2"/>
        <w:tabs>
          <w:tab w:val="left" w:pos="271"/>
        </w:tabs>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4.3.2023年1月1日至投标截止日（以合同签订时间为准），供应商累计完成国有企业经济责任审计、工程项目专项审计同类业绩不少于3个（提供合同协议书关键页及盖章页复印件，敏感性内容可以遮挡，合同主体名称与供应商名称须一致，加盖供应商公章）。</w:t>
      </w:r>
    </w:p>
    <w:p w14:paraId="0B3D9B36">
      <w:pPr>
        <w:pStyle w:val="2"/>
        <w:tabs>
          <w:tab w:val="left" w:pos="271"/>
        </w:tabs>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4.4.服务团队主要人员</w:t>
      </w:r>
    </w:p>
    <w:p w14:paraId="598BC89F">
      <w:pPr>
        <w:pStyle w:val="2"/>
        <w:tabs>
          <w:tab w:val="left" w:pos="271"/>
        </w:tabs>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拟派现场审计服务团队人员不少于4人（含项目负责人），其中注册会计师不少于2人，项目负责人注册执业有效、社保缴纳于本单位，具备 3 年及以上同类审计项目主持经验（提供以上拟派人员执业证书、年检合格佐证材料、社保证明、对应业绩证明复印件，加盖供应商公章）。</w:t>
      </w:r>
    </w:p>
    <w:p w14:paraId="7095C274">
      <w:pPr>
        <w:pStyle w:val="2"/>
        <w:tabs>
          <w:tab w:val="left" w:pos="271"/>
        </w:tabs>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4.5.参加本次询比活动的供应商须为已在商城注册并审查通过的供应商。</w:t>
      </w:r>
    </w:p>
    <w:p w14:paraId="30A34C4C">
      <w:pPr>
        <w:pStyle w:val="2"/>
        <w:tabs>
          <w:tab w:val="left" w:pos="271"/>
        </w:tabs>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4</w:t>
      </w:r>
      <w:r>
        <w:rPr>
          <w:color w:val="000000" w:themeColor="text1"/>
          <w:sz w:val="21"/>
          <w:szCs w:val="21"/>
          <w:highlight w:val="none"/>
          <w14:textFill>
            <w14:solidFill>
              <w14:schemeClr w14:val="tx1"/>
            </w14:solidFill>
          </w14:textFill>
        </w:rPr>
        <w:t>.</w:t>
      </w:r>
      <w:r>
        <w:rPr>
          <w:rFonts w:hint="eastAsia"/>
          <w:color w:val="000000" w:themeColor="text1"/>
          <w:sz w:val="21"/>
          <w:szCs w:val="21"/>
          <w:highlight w:val="none"/>
          <w14:textFill>
            <w14:solidFill>
              <w14:schemeClr w14:val="tx1"/>
            </w14:solidFill>
          </w14:textFill>
        </w:rPr>
        <w:t>6.</w:t>
      </w:r>
      <w:r>
        <w:rPr>
          <w:color w:val="000000" w:themeColor="text1"/>
          <w:sz w:val="21"/>
          <w:szCs w:val="21"/>
          <w:highlight w:val="none"/>
          <w14:textFill>
            <w14:solidFill>
              <w14:schemeClr w14:val="tx1"/>
            </w14:solidFill>
          </w14:textFill>
        </w:rPr>
        <w:t>本次询比</w:t>
      </w:r>
      <w:bookmarkStart w:id="5" w:name="OLE_LINK1"/>
      <w:bookmarkStart w:id="6" w:name="OLE_LINK3"/>
      <w:r>
        <w:rPr>
          <w:rFonts w:hint="eastAsia"/>
          <w:color w:val="000000" w:themeColor="text1"/>
          <w:sz w:val="21"/>
          <w:szCs w:val="21"/>
          <w:highlight w:val="none"/>
          <w14:textFill>
            <w14:solidFill>
              <w14:schemeClr w14:val="tx1"/>
            </w14:solidFill>
          </w14:textFill>
        </w:rPr>
        <w:t>不接受联合体投标，也不允许转包及分包，分支机构参选的，须同步提供总所完整授权文件</w:t>
      </w:r>
      <w:bookmarkEnd w:id="5"/>
      <w:bookmarkEnd w:id="6"/>
      <w:r>
        <w:rPr>
          <w:color w:val="000000" w:themeColor="text1"/>
          <w:sz w:val="21"/>
          <w:szCs w:val="21"/>
          <w:highlight w:val="none"/>
          <w14:textFill>
            <w14:solidFill>
              <w14:schemeClr w14:val="tx1"/>
            </w14:solidFill>
          </w14:textFill>
        </w:rPr>
        <w:t>。</w:t>
      </w:r>
    </w:p>
    <w:p w14:paraId="7F347F03">
      <w:pPr>
        <w:spacing w:line="400" w:lineRule="exact"/>
        <w:ind w:firstLine="422" w:firstLineChars="200"/>
        <w:rPr>
          <w:rFonts w:ascii="宋体" w:hAnsi="宋体" w:cs="宋体"/>
          <w:b/>
          <w:highlight w:val="none"/>
        </w:rPr>
      </w:pPr>
      <w:r>
        <w:rPr>
          <w:rFonts w:hint="eastAsia" w:ascii="宋体" w:hAnsi="宋体" w:cs="宋体"/>
          <w:b/>
          <w:highlight w:val="none"/>
        </w:rPr>
        <w:t>5、询比文件的获取</w:t>
      </w:r>
    </w:p>
    <w:p w14:paraId="07A76B0D">
      <w:pPr>
        <w:spacing w:line="400" w:lineRule="exact"/>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5.1.</w:t>
      </w:r>
      <w:bookmarkStart w:id="7" w:name="OLE_LINK15"/>
      <w:r>
        <w:rPr>
          <w:rFonts w:hint="eastAsia" w:ascii="宋体" w:hAnsi="宋体" w:cs="宋体"/>
          <w:color w:val="000000" w:themeColor="text1"/>
          <w:highlight w:val="none"/>
          <w14:textFill>
            <w14:solidFill>
              <w14:schemeClr w14:val="tx1"/>
            </w14:solidFill>
          </w14:textFill>
        </w:rPr>
        <w:t>凡有意参加竞选者，请</w:t>
      </w:r>
      <w:bookmarkStart w:id="86" w:name="_GoBack"/>
      <w:r>
        <w:rPr>
          <w:rFonts w:hint="eastAsia" w:ascii="宋体" w:hAnsi="宋体" w:cs="宋体"/>
          <w:color w:val="000000" w:themeColor="text1"/>
          <w:highlight w:val="none"/>
          <w14:textFill>
            <w14:solidFill>
              <w14:schemeClr w14:val="tx1"/>
            </w14:solidFill>
          </w14:textFill>
        </w:rPr>
        <w:t>于2026年7月</w:t>
      </w:r>
      <w:r>
        <w:rPr>
          <w:rFonts w:hint="eastAsia" w:ascii="宋体" w:hAnsi="宋体" w:cs="宋体"/>
          <w:color w:val="000000" w:themeColor="text1"/>
          <w:highlight w:val="none"/>
          <w:lang w:val="en-US" w:eastAsia="zh-CN"/>
          <w14:textFill>
            <w14:solidFill>
              <w14:schemeClr w14:val="tx1"/>
            </w14:solidFill>
          </w14:textFill>
        </w:rPr>
        <w:t>23</w:t>
      </w:r>
      <w:r>
        <w:rPr>
          <w:rFonts w:hint="eastAsia" w:ascii="宋体" w:hAnsi="宋体" w:cs="宋体"/>
          <w:color w:val="000000" w:themeColor="text1"/>
          <w:highlight w:val="none"/>
          <w14:textFill>
            <w14:solidFill>
              <w14:schemeClr w14:val="tx1"/>
            </w14:solidFill>
          </w14:textFill>
        </w:rPr>
        <w:t>日10时30分（</w:t>
      </w:r>
      <w:r>
        <w:rPr>
          <w:rFonts w:hint="eastAsia" w:ascii="宋体" w:hAnsi="宋体" w:cs="宋体"/>
          <w:color w:val="000000" w:themeColor="text1"/>
          <w:highlight w:val="none"/>
          <w14:textFill>
            <w14:solidFill>
              <w14:schemeClr w14:val="tx1"/>
            </w14:solidFill>
          </w14:textFill>
        </w:rPr>
        <w:t>北京时间，下同）起在《渝e招阳光智采平台（www.yangguangguoqi.com）》下载询比文件、澄清、修改、补充通知等全部内容。不管下载与否都视为潜在供应商全部知晓有关询比全部内容。</w:t>
      </w:r>
      <w:bookmarkEnd w:id="7"/>
    </w:p>
    <w:p w14:paraId="555F5D21">
      <w:pPr>
        <w:spacing w:line="400" w:lineRule="exact"/>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5.2.询比申请人可向代理机构提交书面质疑，提问时间从本公告发布至2026年7月</w:t>
      </w:r>
      <w:r>
        <w:rPr>
          <w:rFonts w:hint="eastAsia" w:ascii="宋体" w:hAnsi="宋体" w:cs="宋体"/>
          <w:color w:val="000000" w:themeColor="text1"/>
          <w:highlight w:val="none"/>
          <w:lang w:val="en-US" w:eastAsia="zh-CN"/>
          <w14:textFill>
            <w14:solidFill>
              <w14:schemeClr w14:val="tx1"/>
            </w14:solidFill>
          </w14:textFill>
        </w:rPr>
        <w:t>25</w:t>
      </w:r>
      <w:r>
        <w:rPr>
          <w:rFonts w:hint="eastAsia" w:ascii="宋体" w:hAnsi="宋体" w:cs="宋体"/>
          <w:color w:val="000000" w:themeColor="text1"/>
          <w:highlight w:val="none"/>
          <w14:textFill>
            <w14:solidFill>
              <w14:schemeClr w14:val="tx1"/>
            </w14:solidFill>
          </w14:textFill>
        </w:rPr>
        <w:t>日</w:t>
      </w:r>
      <w:r>
        <w:rPr>
          <w:rFonts w:hint="eastAsia" w:ascii="宋体" w:hAnsi="宋体" w:cs="宋体"/>
          <w:color w:val="000000" w:themeColor="text1"/>
          <w:highlight w:val="none"/>
          <w:lang w:val="en-US" w:eastAsia="zh-CN"/>
          <w14:textFill>
            <w14:solidFill>
              <w14:schemeClr w14:val="tx1"/>
            </w14:solidFill>
          </w14:textFill>
        </w:rPr>
        <w:t>17</w:t>
      </w:r>
      <w:r>
        <w:rPr>
          <w:rFonts w:hint="eastAsia" w:ascii="宋体" w:hAnsi="宋体" w:cs="宋体"/>
          <w:color w:val="000000" w:themeColor="text1"/>
          <w:highlight w:val="none"/>
          <w14:textFill>
            <w14:solidFill>
              <w14:schemeClr w14:val="tx1"/>
            </w14:solidFill>
          </w14:textFill>
        </w:rPr>
        <w:t>时30分</w:t>
      </w:r>
      <w:r>
        <w:rPr>
          <w:rFonts w:hint="eastAsia" w:ascii="宋体" w:hAnsi="宋体" w:cs="宋体"/>
          <w:color w:val="000000" w:themeColor="text1"/>
          <w:highlight w:val="none"/>
          <w14:textFill>
            <w14:solidFill>
              <w14:schemeClr w14:val="tx1"/>
            </w14:solidFill>
          </w14:textFill>
        </w:rPr>
        <w:t>（北京时间）前。</w:t>
      </w:r>
    </w:p>
    <w:p w14:paraId="292CB7FC">
      <w:pPr>
        <w:spacing w:line="400" w:lineRule="exact"/>
        <w:ind w:firstLine="420" w:firstLineChars="200"/>
        <w:rPr>
          <w:rFonts w:ascii="宋体" w:hAnsi="宋体" w:cs="宋体"/>
          <w:highlight w:val="none"/>
        </w:rPr>
      </w:pPr>
      <w:r>
        <w:rPr>
          <w:rFonts w:hint="eastAsia" w:ascii="宋体" w:hAnsi="宋体" w:cs="宋体"/>
          <w:color w:val="000000" w:themeColor="text1"/>
          <w:highlight w:val="none"/>
          <w14:textFill>
            <w14:solidFill>
              <w14:schemeClr w14:val="tx1"/>
            </w14:solidFill>
          </w14:textFill>
        </w:rPr>
        <w:t>5.3.采购人应于2026年7月</w:t>
      </w:r>
      <w:r>
        <w:rPr>
          <w:rFonts w:hint="eastAsia" w:ascii="宋体" w:hAnsi="宋体" w:cs="宋体"/>
          <w:color w:val="000000" w:themeColor="text1"/>
          <w:highlight w:val="none"/>
          <w:lang w:val="en-US" w:eastAsia="zh-CN"/>
          <w14:textFill>
            <w14:solidFill>
              <w14:schemeClr w14:val="tx1"/>
            </w14:solidFill>
          </w14:textFill>
        </w:rPr>
        <w:t>27</w:t>
      </w:r>
      <w:r>
        <w:rPr>
          <w:rFonts w:hint="eastAsia" w:ascii="宋体" w:hAnsi="宋体" w:cs="宋体"/>
          <w:color w:val="000000" w:themeColor="text1"/>
          <w:highlight w:val="none"/>
          <w14:textFill>
            <w14:solidFill>
              <w14:schemeClr w14:val="tx1"/>
            </w14:solidFill>
          </w14:textFill>
        </w:rPr>
        <w:t>日17时30分（</w:t>
      </w:r>
      <w:r>
        <w:rPr>
          <w:rFonts w:hint="eastAsia" w:ascii="宋体" w:hAnsi="宋体" w:cs="宋体"/>
          <w:color w:val="000000" w:themeColor="text1"/>
          <w:highlight w:val="none"/>
          <w14:textFill>
            <w14:solidFill>
              <w14:schemeClr w14:val="tx1"/>
            </w14:solidFill>
          </w14:textFill>
        </w:rPr>
        <w:t>北京时间）前在《渝e招阳光智采平台</w:t>
      </w:r>
      <w:r>
        <w:rPr>
          <w:rFonts w:hint="eastAsia" w:ascii="宋体" w:hAnsi="宋体" w:cs="宋体"/>
          <w:highlight w:val="none"/>
        </w:rPr>
        <w:t>（www.yangguangguoqi.com）》发布澄清或修改（如有）。</w:t>
      </w:r>
    </w:p>
    <w:p w14:paraId="46B591A5">
      <w:pPr>
        <w:spacing w:line="400" w:lineRule="exact"/>
        <w:ind w:firstLine="422" w:firstLineChars="200"/>
        <w:rPr>
          <w:rFonts w:ascii="宋体" w:hAnsi="宋体" w:cs="宋体"/>
          <w:b/>
          <w:highlight w:val="none"/>
        </w:rPr>
      </w:pPr>
      <w:bookmarkStart w:id="8" w:name="_Toc20157"/>
      <w:bookmarkStart w:id="9" w:name="_Toc23674"/>
      <w:bookmarkStart w:id="10" w:name="_Toc4417"/>
      <w:r>
        <w:rPr>
          <w:rFonts w:hint="eastAsia" w:ascii="宋体" w:hAnsi="宋体" w:cs="宋体"/>
          <w:b/>
          <w:highlight w:val="none"/>
        </w:rPr>
        <w:t>6、响应文件的递交</w:t>
      </w:r>
      <w:bookmarkEnd w:id="8"/>
      <w:bookmarkEnd w:id="9"/>
      <w:bookmarkEnd w:id="10"/>
    </w:p>
    <w:p w14:paraId="53615B91">
      <w:pPr>
        <w:spacing w:line="400" w:lineRule="exact"/>
        <w:ind w:left="210" w:leftChars="100" w:firstLine="210" w:firstLineChars="100"/>
        <w:rPr>
          <w:rFonts w:ascii="宋体" w:hAnsi="宋体" w:cs="宋体"/>
          <w:highlight w:val="none"/>
        </w:rPr>
      </w:pPr>
      <w:bookmarkStart w:id="11" w:name="_Toc6570"/>
      <w:bookmarkStart w:id="12" w:name="_Toc5041"/>
      <w:bookmarkStart w:id="13" w:name="_Toc11968"/>
      <w:r>
        <w:rPr>
          <w:rFonts w:hint="eastAsia" w:ascii="宋体" w:hAnsi="宋体" w:cs="宋体"/>
          <w:highlight w:val="none"/>
        </w:rPr>
        <w:t>6.1响应文件递交的起止时间（询比截止时间，下同）：2026年7月2</w:t>
      </w:r>
      <w:r>
        <w:rPr>
          <w:rFonts w:hint="eastAsia" w:ascii="宋体" w:hAnsi="宋体" w:cs="宋体"/>
          <w:highlight w:val="none"/>
          <w:lang w:val="en-US" w:eastAsia="zh-CN"/>
        </w:rPr>
        <w:t>8</w:t>
      </w:r>
      <w:r>
        <w:rPr>
          <w:rFonts w:hint="eastAsia" w:ascii="宋体" w:hAnsi="宋体" w:cs="宋体"/>
          <w:highlight w:val="none"/>
        </w:rPr>
        <w:t>日</w:t>
      </w:r>
      <w:r>
        <w:rPr>
          <w:rFonts w:hint="eastAsia" w:ascii="宋体" w:hAnsi="宋体" w:cs="宋体"/>
          <w:highlight w:val="none"/>
          <w:lang w:val="en-US" w:eastAsia="zh-CN"/>
        </w:rPr>
        <w:t>14</w:t>
      </w:r>
      <w:r>
        <w:rPr>
          <w:rFonts w:hint="eastAsia" w:ascii="宋体" w:hAnsi="宋体" w:cs="宋体"/>
          <w:highlight w:val="none"/>
        </w:rPr>
        <w:t>时30分至2026年7月</w:t>
      </w:r>
      <w:r>
        <w:rPr>
          <w:rFonts w:hint="eastAsia" w:ascii="宋体" w:hAnsi="宋体" w:cs="宋体"/>
          <w:highlight w:val="none"/>
          <w:lang w:val="en-US" w:eastAsia="zh-CN"/>
        </w:rPr>
        <w:t>28</w:t>
      </w:r>
      <w:r>
        <w:rPr>
          <w:rFonts w:hint="eastAsia" w:ascii="宋体" w:hAnsi="宋体" w:cs="宋体"/>
          <w:highlight w:val="none"/>
        </w:rPr>
        <w:t>日</w:t>
      </w:r>
      <w:r>
        <w:rPr>
          <w:rFonts w:hint="eastAsia" w:ascii="宋体" w:hAnsi="宋体" w:cs="宋体"/>
          <w:highlight w:val="none"/>
          <w:lang w:val="en-US" w:eastAsia="zh-CN"/>
        </w:rPr>
        <w:t>15</w:t>
      </w:r>
      <w:r>
        <w:rPr>
          <w:rFonts w:hint="eastAsia" w:ascii="宋体" w:hAnsi="宋体" w:cs="宋体"/>
          <w:highlight w:val="none"/>
        </w:rPr>
        <w:t>时00分。</w:t>
      </w:r>
      <w:bookmarkEnd w:id="11"/>
      <w:bookmarkEnd w:id="12"/>
      <w:bookmarkEnd w:id="13"/>
    </w:p>
    <w:p w14:paraId="0D3BF43D">
      <w:pPr>
        <w:widowControl/>
        <w:shd w:val="clear" w:color="auto" w:fill="FFFFFF"/>
        <w:spacing w:before="75" w:after="75"/>
        <w:ind w:firstLine="420"/>
        <w:jc w:val="left"/>
        <w:rPr>
          <w:rFonts w:ascii="宋体" w:hAnsi="宋体" w:cs="宋体"/>
          <w:highlight w:val="none"/>
        </w:rPr>
      </w:pPr>
      <w:bookmarkStart w:id="14" w:name="_Toc4520"/>
      <w:bookmarkStart w:id="15" w:name="_Toc12603"/>
      <w:bookmarkStart w:id="16" w:name="_Toc21891"/>
      <w:r>
        <w:rPr>
          <w:rFonts w:hint="eastAsia" w:ascii="宋体" w:hAnsi="宋体" w:cs="宋体"/>
          <w:highlight w:val="none"/>
        </w:rPr>
        <w:t>6.2询比地点：</w:t>
      </w:r>
      <w:r>
        <w:rPr>
          <w:rFonts w:hint="eastAsia" w:ascii="宋体" w:hAnsi="宋体" w:cs="宋体"/>
          <w:color w:val="333333"/>
          <w:kern w:val="0"/>
          <w:highlight w:val="none"/>
          <w:shd w:val="clear" w:color="auto" w:fill="FFFFFF"/>
          <w:lang w:bidi="ar"/>
        </w:rPr>
        <w:t>重庆市两江新区五里店五简路2号</w:t>
      </w:r>
      <w:r>
        <w:rPr>
          <w:rFonts w:hint="eastAsia"/>
          <w:highlight w:val="none"/>
        </w:rPr>
        <w:t>重庆咨询大厦开标大厅，具体详见当天重咨大厦负一楼大厅指示牌</w:t>
      </w:r>
      <w:r>
        <w:rPr>
          <w:rFonts w:hint="eastAsia" w:ascii="宋体" w:hAnsi="宋体" w:cs="宋体"/>
          <w:highlight w:val="none"/>
        </w:rPr>
        <w:t>。</w:t>
      </w:r>
      <w:bookmarkEnd w:id="14"/>
      <w:bookmarkEnd w:id="15"/>
      <w:bookmarkEnd w:id="16"/>
    </w:p>
    <w:p w14:paraId="02FF5032">
      <w:pPr>
        <w:spacing w:line="400" w:lineRule="exact"/>
        <w:ind w:firstLine="420" w:firstLineChars="200"/>
        <w:rPr>
          <w:rFonts w:ascii="宋体" w:hAnsi="宋体" w:cs="宋体"/>
          <w:highlight w:val="none"/>
        </w:rPr>
      </w:pPr>
      <w:bookmarkStart w:id="17" w:name="_Toc24041"/>
      <w:bookmarkStart w:id="18" w:name="_Toc2893"/>
      <w:bookmarkStart w:id="19" w:name="_Toc22210"/>
      <w:r>
        <w:rPr>
          <w:rFonts w:hint="eastAsia" w:ascii="宋体" w:hAnsi="宋体" w:cs="宋体"/>
          <w:highlight w:val="none"/>
        </w:rPr>
        <w:t>6.3询比时间：2026年7月</w:t>
      </w:r>
      <w:r>
        <w:rPr>
          <w:rFonts w:hint="eastAsia" w:ascii="宋体" w:hAnsi="宋体" w:cs="宋体"/>
          <w:highlight w:val="none"/>
          <w:lang w:val="en-US" w:eastAsia="zh-CN"/>
        </w:rPr>
        <w:t>28</w:t>
      </w:r>
      <w:r>
        <w:rPr>
          <w:rFonts w:hint="eastAsia" w:ascii="宋体" w:hAnsi="宋体" w:cs="宋体"/>
          <w:highlight w:val="none"/>
        </w:rPr>
        <w:t>日</w:t>
      </w:r>
      <w:r>
        <w:rPr>
          <w:rFonts w:hint="eastAsia" w:ascii="宋体" w:hAnsi="宋体" w:cs="宋体"/>
          <w:highlight w:val="none"/>
          <w:lang w:val="en-US" w:eastAsia="zh-CN"/>
        </w:rPr>
        <w:t>15</w:t>
      </w:r>
      <w:r>
        <w:rPr>
          <w:rFonts w:hint="eastAsia" w:ascii="宋体" w:hAnsi="宋体" w:cs="宋体"/>
          <w:highlight w:val="none"/>
        </w:rPr>
        <w:t>时00分（北京时间）。</w:t>
      </w:r>
      <w:bookmarkEnd w:id="17"/>
      <w:bookmarkEnd w:id="18"/>
      <w:bookmarkEnd w:id="19"/>
    </w:p>
    <w:bookmarkEnd w:id="86"/>
    <w:p w14:paraId="0BF61F94">
      <w:pPr>
        <w:spacing w:line="400" w:lineRule="exact"/>
        <w:ind w:firstLine="420" w:firstLineChars="200"/>
        <w:rPr>
          <w:rFonts w:ascii="宋体" w:hAnsi="宋体" w:cs="宋体"/>
        </w:rPr>
      </w:pPr>
      <w:bookmarkStart w:id="20" w:name="_Toc30134"/>
      <w:bookmarkStart w:id="21" w:name="_Toc8022"/>
      <w:bookmarkStart w:id="22" w:name="_Toc21675"/>
      <w:r>
        <w:rPr>
          <w:rFonts w:hint="eastAsia" w:ascii="宋体" w:hAnsi="宋体" w:cs="宋体"/>
          <w:highlight w:val="none"/>
        </w:rPr>
        <w:t>6.4逾期送达，或未送达指定地点，或未密封的响应文件，采购人不予</w:t>
      </w:r>
      <w:r>
        <w:rPr>
          <w:rFonts w:hint="eastAsia" w:ascii="宋体" w:hAnsi="宋体" w:cs="宋体"/>
        </w:rPr>
        <w:t>受理。</w:t>
      </w:r>
      <w:bookmarkEnd w:id="20"/>
      <w:bookmarkEnd w:id="21"/>
      <w:bookmarkEnd w:id="22"/>
    </w:p>
    <w:p w14:paraId="588E520E">
      <w:pPr>
        <w:spacing w:line="400" w:lineRule="exact"/>
        <w:ind w:firstLine="422" w:firstLineChars="200"/>
        <w:rPr>
          <w:rFonts w:ascii="宋体" w:hAnsi="宋体" w:cs="宋体"/>
          <w:bCs/>
        </w:rPr>
      </w:pPr>
      <w:r>
        <w:rPr>
          <w:rFonts w:hint="eastAsia" w:ascii="宋体" w:hAnsi="宋体" w:cs="宋体"/>
          <w:b/>
        </w:rPr>
        <w:t>7、发布公告的媒介</w:t>
      </w:r>
    </w:p>
    <w:p w14:paraId="35C3B068">
      <w:pPr>
        <w:spacing w:line="400" w:lineRule="exact"/>
        <w:ind w:firstLine="420" w:firstLineChars="200"/>
        <w:rPr>
          <w:rFonts w:ascii="宋体" w:hAnsi="宋体" w:cs="宋体"/>
        </w:rPr>
      </w:pPr>
      <w:r>
        <w:rPr>
          <w:rFonts w:hint="eastAsia" w:ascii="宋体" w:hAnsi="宋体" w:cs="宋体"/>
        </w:rPr>
        <w:t>本次询比公告在渝e招阳光智采平台（</w:t>
      </w:r>
      <w:bookmarkStart w:id="23" w:name="OLE_LINK16"/>
      <w:r>
        <w:rPr>
          <w:rFonts w:hint="eastAsia" w:ascii="宋体" w:hAnsi="宋体" w:cs="宋体"/>
        </w:rPr>
        <w:t>www.yangguangguoqi.com</w:t>
      </w:r>
      <w:bookmarkEnd w:id="23"/>
      <w:r>
        <w:rPr>
          <w:rFonts w:hint="eastAsia" w:ascii="宋体" w:hAnsi="宋体" w:cs="宋体"/>
        </w:rPr>
        <w:t>）上发布。</w:t>
      </w:r>
    </w:p>
    <w:p w14:paraId="58CA5AF7">
      <w:pPr>
        <w:spacing w:line="400" w:lineRule="exact"/>
        <w:ind w:firstLine="422" w:firstLineChars="200"/>
        <w:rPr>
          <w:rFonts w:ascii="宋体" w:hAnsi="宋体" w:cs="宋体"/>
          <w:bCs/>
        </w:rPr>
      </w:pPr>
      <w:r>
        <w:rPr>
          <w:rFonts w:hint="eastAsia" w:ascii="宋体" w:hAnsi="宋体" w:cs="宋体"/>
          <w:b/>
          <w:bCs/>
        </w:rPr>
        <w:t>8、联系方式：</w:t>
      </w:r>
    </w:p>
    <w:p w14:paraId="4290E82E">
      <w:pPr>
        <w:spacing w:line="400" w:lineRule="exact"/>
        <w:ind w:firstLine="420" w:firstLineChars="200"/>
        <w:rPr>
          <w:rFonts w:ascii="宋体" w:hAnsi="宋体" w:cs="宋体"/>
          <w:b/>
          <w:bCs/>
          <w:sz w:val="28"/>
          <w:szCs w:val="28"/>
        </w:rPr>
      </w:pPr>
      <w:r>
        <w:rPr>
          <w:rFonts w:hint="eastAsia" w:ascii="宋体" w:hAnsi="宋体" w:cs="宋体"/>
        </w:rPr>
        <w:t>询 比 人：重庆市工程管理有限公司</w:t>
      </w:r>
    </w:p>
    <w:p w14:paraId="01E92D1B">
      <w:pPr>
        <w:adjustRightInd w:val="0"/>
        <w:snapToGrid w:val="0"/>
        <w:spacing w:line="400" w:lineRule="exact"/>
        <w:ind w:firstLine="420" w:firstLineChars="200"/>
        <w:rPr>
          <w:rFonts w:ascii="宋体" w:hAnsi="宋体" w:cs="宋体"/>
          <w:highlight w:val="none"/>
        </w:rPr>
      </w:pPr>
      <w:r>
        <w:rPr>
          <w:rFonts w:hint="eastAsia" w:ascii="宋体" w:hAnsi="宋体" w:cs="宋体"/>
        </w:rPr>
        <w:t xml:space="preserve">地    </w:t>
      </w:r>
      <w:r>
        <w:rPr>
          <w:rFonts w:hint="eastAsia" w:ascii="宋体" w:hAnsi="宋体" w:cs="宋体"/>
          <w:highlight w:val="none"/>
        </w:rPr>
        <w:t>址：重庆市两江新区五里店五简路2号重庆咨询大厦</w:t>
      </w:r>
    </w:p>
    <w:p w14:paraId="179E1FA0">
      <w:pPr>
        <w:adjustRightInd w:val="0"/>
        <w:snapToGrid w:val="0"/>
        <w:spacing w:line="400" w:lineRule="exact"/>
        <w:ind w:firstLine="420" w:firstLineChars="200"/>
        <w:rPr>
          <w:rFonts w:ascii="宋体" w:hAnsi="宋体" w:cs="宋体"/>
          <w:highlight w:val="none"/>
        </w:rPr>
      </w:pPr>
      <w:r>
        <w:rPr>
          <w:rFonts w:hint="eastAsia" w:ascii="宋体" w:hAnsi="宋体" w:cs="宋体"/>
          <w:highlight w:val="none"/>
        </w:rPr>
        <w:t>联 系 人：</w:t>
      </w:r>
      <w:r>
        <w:rPr>
          <w:rFonts w:hint="eastAsia" w:ascii="宋体" w:hAnsi="宋体" w:cs="宋体"/>
          <w:highlight w:val="none"/>
          <w:u w:val="none"/>
        </w:rPr>
        <w:t xml:space="preserve"> 张婧           </w:t>
      </w:r>
    </w:p>
    <w:p w14:paraId="22091503">
      <w:pPr>
        <w:adjustRightInd w:val="0"/>
        <w:snapToGrid w:val="0"/>
        <w:spacing w:line="400" w:lineRule="exact"/>
        <w:ind w:firstLine="420" w:firstLineChars="200"/>
        <w:rPr>
          <w:rFonts w:ascii="宋体" w:hAnsi="宋体" w:cs="宋体"/>
          <w:highlight w:val="green"/>
        </w:rPr>
      </w:pPr>
      <w:r>
        <w:rPr>
          <w:rFonts w:hint="eastAsia" w:ascii="宋体" w:hAnsi="宋体" w:cs="宋体"/>
          <w:highlight w:val="none"/>
        </w:rPr>
        <w:t>电    话：</w:t>
      </w:r>
      <w:r>
        <w:rPr>
          <w:rFonts w:hint="eastAsia" w:ascii="宋体" w:hAnsi="宋体" w:cs="宋体"/>
          <w:highlight w:val="none"/>
          <w:u w:val="none"/>
        </w:rPr>
        <w:t xml:space="preserve"> </w:t>
      </w:r>
      <w:r>
        <w:rPr>
          <w:rFonts w:ascii="宋体" w:hAnsi="宋体" w:cs="宋体"/>
          <w:highlight w:val="none"/>
          <w:u w:val="none"/>
        </w:rPr>
        <w:t>023-63612585</w:t>
      </w:r>
      <w:r>
        <w:rPr>
          <w:rFonts w:hint="eastAsia" w:ascii="宋体" w:hAnsi="宋体" w:cs="宋体"/>
          <w:highlight w:val="none"/>
          <w:u w:val="none"/>
        </w:rPr>
        <w:t xml:space="preserve">  </w:t>
      </w:r>
      <w:r>
        <w:rPr>
          <w:rFonts w:hint="eastAsia" w:ascii="宋体" w:hAnsi="宋体" w:cs="宋体"/>
          <w:highlight w:val="none"/>
        </w:rPr>
        <w:t xml:space="preserve">  </w:t>
      </w:r>
    </w:p>
    <w:p w14:paraId="225EEABE">
      <w:pPr>
        <w:adjustRightInd w:val="0"/>
        <w:snapToGrid w:val="0"/>
        <w:spacing w:line="400" w:lineRule="exact"/>
        <w:ind w:firstLine="420" w:firstLineChars="200"/>
        <w:rPr>
          <w:rFonts w:ascii="宋体" w:hAnsi="宋体" w:cs="宋体"/>
        </w:rPr>
      </w:pPr>
    </w:p>
    <w:p w14:paraId="77F58CE0">
      <w:pPr>
        <w:adjustRightInd w:val="0"/>
        <w:snapToGrid w:val="0"/>
        <w:spacing w:line="400" w:lineRule="exact"/>
        <w:ind w:firstLine="420" w:firstLineChars="200"/>
        <w:rPr>
          <w:rFonts w:ascii="宋体" w:hAnsi="宋体" w:cs="宋体"/>
        </w:rPr>
      </w:pPr>
      <w:r>
        <w:rPr>
          <w:rFonts w:hint="eastAsia" w:ascii="宋体" w:hAnsi="宋体" w:cs="宋体"/>
        </w:rPr>
        <w:t>代理机构：重庆招标采购（集团）有限责任公司</w:t>
      </w:r>
    </w:p>
    <w:p w14:paraId="4335723B">
      <w:pPr>
        <w:adjustRightInd w:val="0"/>
        <w:snapToGrid w:val="0"/>
        <w:spacing w:line="400" w:lineRule="exact"/>
        <w:ind w:firstLine="420" w:firstLineChars="200"/>
        <w:rPr>
          <w:rFonts w:ascii="宋体" w:hAnsi="宋体" w:cs="宋体"/>
        </w:rPr>
      </w:pPr>
      <w:r>
        <w:rPr>
          <w:rFonts w:hint="eastAsia" w:ascii="宋体" w:hAnsi="宋体" w:cs="宋体"/>
        </w:rPr>
        <w:t>地址：重庆市两江新区五里店五简路2号重庆咨询大厦</w:t>
      </w:r>
    </w:p>
    <w:p w14:paraId="3F7D090E">
      <w:pPr>
        <w:adjustRightInd w:val="0"/>
        <w:snapToGrid w:val="0"/>
        <w:spacing w:line="400" w:lineRule="exact"/>
        <w:ind w:firstLine="420" w:firstLineChars="200"/>
        <w:rPr>
          <w:rFonts w:ascii="宋体" w:hAnsi="宋体" w:cs="宋体"/>
        </w:rPr>
      </w:pPr>
      <w:r>
        <w:rPr>
          <w:rFonts w:hint="eastAsia" w:ascii="宋体" w:hAnsi="宋体" w:cs="宋体"/>
        </w:rPr>
        <w:t>联系人：李老师、张老师</w:t>
      </w:r>
    </w:p>
    <w:p w14:paraId="62B73AB5">
      <w:pPr>
        <w:adjustRightInd w:val="0"/>
        <w:snapToGrid w:val="0"/>
        <w:spacing w:line="400" w:lineRule="exact"/>
        <w:ind w:firstLine="420" w:firstLineChars="200"/>
        <w:rPr>
          <w:rFonts w:ascii="宋体" w:hAnsi="宋体" w:cs="宋体"/>
          <w:b/>
          <w:bCs/>
          <w:sz w:val="28"/>
          <w:szCs w:val="28"/>
        </w:rPr>
      </w:pPr>
      <w:r>
        <w:rPr>
          <w:rFonts w:hint="eastAsia" w:ascii="宋体" w:hAnsi="宋体" w:cs="宋体"/>
        </w:rPr>
        <w:t>电话：400-967-1198</w:t>
      </w:r>
      <w:r>
        <w:rPr>
          <w:rFonts w:ascii="宋体"/>
        </w:rPr>
        <w:br w:type="page"/>
      </w:r>
      <w:bookmarkStart w:id="24" w:name="_Toc3650"/>
      <w:r>
        <w:rPr>
          <w:rFonts w:hint="eastAsia" w:ascii="宋体"/>
        </w:rPr>
        <w:t xml:space="preserve">                                </w:t>
      </w:r>
      <w:r>
        <w:rPr>
          <w:rFonts w:hint="eastAsia" w:ascii="宋体" w:hAnsi="宋体" w:cs="宋体"/>
          <w:b/>
          <w:bCs/>
          <w:sz w:val="28"/>
          <w:szCs w:val="28"/>
        </w:rPr>
        <w:t>第二部分 询比须知</w:t>
      </w:r>
      <w:bookmarkEnd w:id="24"/>
    </w:p>
    <w:p w14:paraId="29C8FF7E">
      <w:pPr>
        <w:adjustRightInd w:val="0"/>
        <w:snapToGrid w:val="0"/>
        <w:spacing w:line="400" w:lineRule="exact"/>
        <w:ind w:firstLine="562" w:firstLineChars="200"/>
        <w:rPr>
          <w:rFonts w:ascii="宋体" w:hAnsi="宋体" w:cs="宋体"/>
          <w:b/>
          <w:bCs/>
          <w:sz w:val="28"/>
          <w:szCs w:val="28"/>
          <w:highlight w:val="none"/>
        </w:rPr>
      </w:pPr>
    </w:p>
    <w:p w14:paraId="7A57643C">
      <w:pPr>
        <w:spacing w:line="400" w:lineRule="exact"/>
        <w:rPr>
          <w:rFonts w:hint="eastAsia" w:ascii="宋体" w:hAnsi="宋体" w:eastAsia="宋体" w:cs="宋体"/>
          <w:b/>
          <w:bCs/>
          <w:highlight w:val="none"/>
          <w:lang w:eastAsia="zh-CN"/>
        </w:rPr>
      </w:pPr>
      <w:bookmarkStart w:id="25" w:name="_Toc120633466"/>
      <w:bookmarkStart w:id="26" w:name="_Toc32630"/>
      <w:bookmarkStart w:id="27" w:name="_Toc28329"/>
      <w:r>
        <w:rPr>
          <w:rFonts w:hint="eastAsia" w:ascii="宋体" w:hAnsi="宋体" w:cs="宋体"/>
          <w:b/>
          <w:bCs/>
          <w:highlight w:val="none"/>
        </w:rPr>
        <w:t>一、项目名称：</w:t>
      </w:r>
      <w:bookmarkEnd w:id="25"/>
      <w:bookmarkEnd w:id="26"/>
      <w:bookmarkEnd w:id="27"/>
      <w:bookmarkStart w:id="28" w:name="_Toc27802"/>
      <w:bookmarkStart w:id="29" w:name="_Toc5888"/>
      <w:r>
        <w:rPr>
          <w:rFonts w:hint="eastAsia" w:ascii="宋体" w:hAnsi="宋体" w:cs="宋体"/>
          <w:b/>
          <w:bCs/>
          <w:highlight w:val="none"/>
          <w:lang w:eastAsia="zh-CN"/>
        </w:rPr>
        <w:t>重庆市工程管理有限公司审计服务采购（第二次）</w:t>
      </w:r>
    </w:p>
    <w:p w14:paraId="3BF1465D">
      <w:pPr>
        <w:pStyle w:val="2"/>
        <w:ind w:firstLine="0"/>
        <w:rPr>
          <w:b/>
          <w:bCs/>
          <w:sz w:val="21"/>
          <w:szCs w:val="21"/>
          <w:highlight w:val="none"/>
        </w:rPr>
      </w:pPr>
      <w:r>
        <w:rPr>
          <w:rFonts w:hint="eastAsia"/>
          <w:b/>
          <w:bCs/>
          <w:sz w:val="21"/>
          <w:szCs w:val="21"/>
          <w:highlight w:val="none"/>
        </w:rPr>
        <w:t>二、项目概况：</w:t>
      </w:r>
    </w:p>
    <w:p w14:paraId="0483E168">
      <w:pPr>
        <w:adjustRightInd w:val="0"/>
        <w:snapToGrid w:val="0"/>
        <w:spacing w:line="400" w:lineRule="exact"/>
        <w:ind w:firstLine="420" w:firstLineChars="200"/>
        <w:rPr>
          <w:rFonts w:ascii="宋体" w:hAnsi="宋体" w:cs="宋体"/>
          <w:highlight w:val="none"/>
        </w:rPr>
      </w:pPr>
      <w:r>
        <w:rPr>
          <w:rFonts w:hint="eastAsia" w:ascii="宋体" w:hAnsi="宋体" w:cs="宋体"/>
          <w:highlight w:val="none"/>
        </w:rPr>
        <w:t>2.1项目范围及内容：</w:t>
      </w:r>
    </w:p>
    <w:p w14:paraId="06ECF9A5">
      <w:pPr>
        <w:adjustRightInd w:val="0"/>
        <w:snapToGrid w:val="0"/>
        <w:spacing w:line="400" w:lineRule="exact"/>
        <w:ind w:firstLine="420" w:firstLineChars="200"/>
        <w:rPr>
          <w:rFonts w:hint="eastAsia" w:ascii="宋体" w:hAnsi="宋体" w:cs="宋体"/>
          <w:highlight w:val="none"/>
        </w:rPr>
      </w:pPr>
      <w:r>
        <w:rPr>
          <w:rFonts w:hint="eastAsia" w:ascii="宋体" w:hAnsi="宋体" w:cs="宋体"/>
          <w:highlight w:val="none"/>
        </w:rPr>
        <w:t>2.1.1开展6项经济责任审计：核查公司下属子公司领导人员任职期间贯彻执行党和国家经济方针政策、决策部署情况；公司发展战略规划的制定、执行和效果情况；重大经济事项的决策、执行和效果情况；公司法人治理结构的建立、健全和运行情况，内部控制制度的制定和执行情况；公司财务的真实合法效益情况，风险管控情况；资产的管理及保值增值情况；完成工管公司下达考核任务情况；内部考核分配制度建立及执行情况；企业工资发放情况及本人薪酬发放情况；经济活动中落实有关党风廉政建设责任和遵守从业规定情况；参股投资、与参股企业关联交易等有关事项；以往审计发现问题的整改情况等经济责任履行情况，出具规范正式审计报告及全套工作底稿。</w:t>
      </w:r>
    </w:p>
    <w:p w14:paraId="78671620">
      <w:pPr>
        <w:adjustRightInd w:val="0"/>
        <w:snapToGrid w:val="0"/>
        <w:spacing w:line="400" w:lineRule="exact"/>
        <w:ind w:firstLine="420" w:firstLineChars="200"/>
        <w:rPr>
          <w:rFonts w:ascii="宋体" w:hAnsi="宋体" w:cs="宋体"/>
          <w:highlight w:val="none"/>
        </w:rPr>
      </w:pPr>
      <w:r>
        <w:rPr>
          <w:rFonts w:hint="eastAsia" w:ascii="宋体" w:hAnsi="宋体" w:cs="宋体"/>
          <w:highlight w:val="none"/>
        </w:rPr>
        <w:t>2</w:t>
      </w:r>
      <w:r>
        <w:rPr>
          <w:rFonts w:ascii="宋体" w:hAnsi="宋体" w:cs="宋体"/>
          <w:highlight w:val="none"/>
        </w:rPr>
        <w:t xml:space="preserve">.1.1.1 </w:t>
      </w:r>
      <w:r>
        <w:rPr>
          <w:rFonts w:hint="eastAsia" w:ascii="宋体" w:hAnsi="宋体" w:cs="宋体"/>
          <w:highlight w:val="none"/>
        </w:rPr>
        <w:t>宜昌区域子（分）公司原总经理何小锋同志离任经济责任审计（湖北西陵工程管理有限公司、重庆市工程管理有限公司湖北宜昌分公司、重庆市工程管理有限公司夷陵分公司），审计期间：2023年1月1日—2025年9月30日，公司注册地址：宜昌市西陵区西湖路32号。</w:t>
      </w:r>
    </w:p>
    <w:p w14:paraId="5B5918D0">
      <w:pPr>
        <w:adjustRightInd w:val="0"/>
        <w:snapToGrid w:val="0"/>
        <w:spacing w:line="400" w:lineRule="exact"/>
        <w:ind w:firstLine="420" w:firstLineChars="200"/>
        <w:rPr>
          <w:rFonts w:ascii="宋体" w:hAnsi="宋体" w:cs="宋体"/>
          <w:highlight w:val="none"/>
        </w:rPr>
      </w:pPr>
      <w:r>
        <w:rPr>
          <w:rFonts w:hint="eastAsia" w:ascii="宋体" w:hAnsi="宋体" w:cs="宋体"/>
          <w:highlight w:val="none"/>
        </w:rPr>
        <w:t>2</w:t>
      </w:r>
      <w:r>
        <w:rPr>
          <w:rFonts w:ascii="宋体" w:hAnsi="宋体" w:cs="宋体"/>
          <w:highlight w:val="none"/>
        </w:rPr>
        <w:t xml:space="preserve">.1.1.2 </w:t>
      </w:r>
      <w:r>
        <w:rPr>
          <w:rFonts w:hint="eastAsia" w:ascii="宋体" w:hAnsi="宋体" w:cs="宋体"/>
          <w:highlight w:val="none"/>
        </w:rPr>
        <w:t>重庆明润工程管理有限公司原总经理黄晓东同志离任经济责任审计，审计期间：2023年1月1日—2024年3月31日，公司注册地址：重庆市璧山区璧泉街道双星大道50号1幢12-1、12-2。</w:t>
      </w:r>
    </w:p>
    <w:p w14:paraId="45936BCB">
      <w:pPr>
        <w:adjustRightInd w:val="0"/>
        <w:snapToGrid w:val="0"/>
        <w:spacing w:line="400" w:lineRule="exact"/>
        <w:ind w:firstLine="420" w:firstLineChars="200"/>
        <w:rPr>
          <w:rFonts w:ascii="宋体" w:hAnsi="宋体" w:cs="宋体"/>
          <w:highlight w:val="none"/>
        </w:rPr>
      </w:pPr>
      <w:r>
        <w:rPr>
          <w:rFonts w:hint="eastAsia" w:ascii="宋体" w:hAnsi="宋体" w:cs="宋体"/>
          <w:highlight w:val="none"/>
        </w:rPr>
        <w:t>2</w:t>
      </w:r>
      <w:r>
        <w:rPr>
          <w:rFonts w:ascii="宋体" w:hAnsi="宋体" w:cs="宋体"/>
          <w:highlight w:val="none"/>
        </w:rPr>
        <w:t xml:space="preserve">.1.1.3 </w:t>
      </w:r>
      <w:r>
        <w:rPr>
          <w:rFonts w:hint="eastAsia" w:ascii="宋体" w:hAnsi="宋体" w:cs="宋体"/>
          <w:highlight w:val="none"/>
        </w:rPr>
        <w:t>重庆明润工程管理有限公司总经理何薇同志任期经济责任审计，审计期间：2024年4月1日—2026年4月30日，公司注册地址：重庆市璧山区璧泉街道双星大道50号1幢12-1、12-2。</w:t>
      </w:r>
    </w:p>
    <w:p w14:paraId="3D7FCB03">
      <w:pPr>
        <w:adjustRightInd w:val="0"/>
        <w:snapToGrid w:val="0"/>
        <w:spacing w:line="400" w:lineRule="exact"/>
        <w:ind w:firstLine="420" w:firstLineChars="200"/>
        <w:rPr>
          <w:rFonts w:ascii="宋体" w:hAnsi="宋体" w:cs="宋体"/>
          <w:highlight w:val="none"/>
        </w:rPr>
      </w:pPr>
      <w:r>
        <w:rPr>
          <w:rFonts w:hint="eastAsia" w:ascii="宋体" w:hAnsi="宋体" w:cs="宋体"/>
          <w:highlight w:val="none"/>
        </w:rPr>
        <w:t>2</w:t>
      </w:r>
      <w:r>
        <w:rPr>
          <w:rFonts w:ascii="宋体" w:hAnsi="宋体" w:cs="宋体"/>
          <w:highlight w:val="none"/>
        </w:rPr>
        <w:t xml:space="preserve">.1.1.4 </w:t>
      </w:r>
      <w:r>
        <w:rPr>
          <w:rFonts w:hint="eastAsia" w:ascii="宋体" w:hAnsi="宋体" w:cs="宋体"/>
          <w:highlight w:val="none"/>
        </w:rPr>
        <w:t>重庆黔中道工程管理有限公司董事长刘森同志任期经济责任审计，审计期间：2023年7月20日—2026年7月31日，公司注册地址：重庆市彭水苗族土家族自治县绍庆街道滨江路179号A区商业负2-21、2-22、2-23。</w:t>
      </w:r>
    </w:p>
    <w:p w14:paraId="526C7ABB">
      <w:pPr>
        <w:adjustRightInd w:val="0"/>
        <w:snapToGrid w:val="0"/>
        <w:spacing w:line="400" w:lineRule="exact"/>
        <w:ind w:firstLine="420" w:firstLineChars="200"/>
        <w:rPr>
          <w:rFonts w:ascii="宋体" w:hAnsi="宋体" w:cs="宋体"/>
          <w:highlight w:val="none"/>
        </w:rPr>
      </w:pPr>
      <w:r>
        <w:rPr>
          <w:rFonts w:hint="eastAsia" w:ascii="宋体" w:hAnsi="宋体" w:cs="宋体"/>
          <w:highlight w:val="none"/>
        </w:rPr>
        <w:t>2</w:t>
      </w:r>
      <w:r>
        <w:rPr>
          <w:rFonts w:ascii="宋体" w:hAnsi="宋体" w:cs="宋体"/>
          <w:highlight w:val="none"/>
        </w:rPr>
        <w:t xml:space="preserve">.1.1.5 </w:t>
      </w:r>
      <w:r>
        <w:rPr>
          <w:rFonts w:hint="eastAsia" w:ascii="宋体" w:hAnsi="宋体" w:cs="宋体"/>
          <w:highlight w:val="none"/>
        </w:rPr>
        <w:t>重庆重咨兴云工程咨询有限公司原总经理杨旭同志离任经济责任审计，审计期间：2022年3月22日—2026年4月30日，公司注册地址：重庆市云阳县青龙路198号。</w:t>
      </w:r>
    </w:p>
    <w:p w14:paraId="16FED84E">
      <w:pPr>
        <w:adjustRightInd w:val="0"/>
        <w:snapToGrid w:val="0"/>
        <w:spacing w:line="400" w:lineRule="exact"/>
        <w:ind w:firstLine="420" w:firstLineChars="200"/>
        <w:rPr>
          <w:rFonts w:hint="eastAsia" w:ascii="宋体" w:hAnsi="宋体" w:cs="宋体"/>
          <w:highlight w:val="none"/>
        </w:rPr>
      </w:pPr>
      <w:r>
        <w:rPr>
          <w:rFonts w:hint="eastAsia" w:ascii="宋体" w:hAnsi="宋体" w:cs="宋体"/>
          <w:highlight w:val="none"/>
        </w:rPr>
        <w:t>2</w:t>
      </w:r>
      <w:r>
        <w:rPr>
          <w:rFonts w:ascii="宋体" w:hAnsi="宋体" w:cs="宋体"/>
          <w:highlight w:val="none"/>
        </w:rPr>
        <w:t xml:space="preserve">.1.1.6 </w:t>
      </w:r>
      <w:r>
        <w:rPr>
          <w:rFonts w:hint="eastAsia" w:ascii="宋体" w:hAnsi="宋体" w:cs="宋体"/>
          <w:highlight w:val="none"/>
        </w:rPr>
        <w:t>重庆丰投工程咨询有限公司原总经理夏斌同志离任经济责任审计，审计期间：2023年7月6日—2026年2月11日，公司注册地址：重庆市丰都县久桓大道244号附14号。</w:t>
      </w:r>
    </w:p>
    <w:p w14:paraId="17E90D47">
      <w:pPr>
        <w:adjustRightInd w:val="0"/>
        <w:snapToGrid w:val="0"/>
        <w:spacing w:line="400" w:lineRule="exact"/>
        <w:ind w:firstLine="420" w:firstLineChars="200"/>
        <w:rPr>
          <w:rFonts w:hint="eastAsia" w:ascii="宋体" w:hAnsi="宋体" w:cs="宋体"/>
          <w:highlight w:val="none"/>
        </w:rPr>
      </w:pPr>
      <w:r>
        <w:rPr>
          <w:rFonts w:hint="eastAsia" w:ascii="宋体" w:hAnsi="宋体" w:cs="宋体"/>
          <w:highlight w:val="none"/>
        </w:rPr>
        <w:t>2.1.2开展2025年度万盛经开区三个项目专项审计，核查项目合同履行情况、工程质量安全管理情况、项目进度管控情况、项目用工管理情况，出具规范正式审计报告及全套工作底稿。</w:t>
      </w:r>
    </w:p>
    <w:p w14:paraId="33E0B83A">
      <w:pPr>
        <w:adjustRightInd w:val="0"/>
        <w:snapToGrid w:val="0"/>
        <w:spacing w:line="400" w:lineRule="exact"/>
        <w:ind w:firstLine="420" w:firstLineChars="200"/>
        <w:rPr>
          <w:rFonts w:hint="eastAsia" w:ascii="宋体" w:hAnsi="宋体" w:cs="宋体"/>
          <w:highlight w:val="none"/>
        </w:rPr>
      </w:pPr>
      <w:r>
        <w:rPr>
          <w:rFonts w:hint="eastAsia" w:ascii="宋体" w:hAnsi="宋体" w:cs="宋体"/>
          <w:highlight w:val="none"/>
        </w:rPr>
        <w:t>2.1.2.1 2025年万盛经开区城镇配套基础设施建设项目（全过程工程咨询服务，包含10个子项目），审计期间：2025年5月（合同签订）—2026年6月30日。</w:t>
      </w:r>
    </w:p>
    <w:p w14:paraId="06653A1E">
      <w:pPr>
        <w:adjustRightInd w:val="0"/>
        <w:snapToGrid w:val="0"/>
        <w:spacing w:line="400" w:lineRule="exact"/>
        <w:ind w:firstLine="420" w:firstLineChars="200"/>
        <w:rPr>
          <w:rFonts w:hint="eastAsia" w:ascii="宋体" w:hAnsi="宋体" w:cs="宋体"/>
          <w:highlight w:val="none"/>
        </w:rPr>
      </w:pPr>
      <w:r>
        <w:rPr>
          <w:rFonts w:hint="eastAsia" w:ascii="宋体" w:hAnsi="宋体" w:cs="宋体"/>
          <w:highlight w:val="none"/>
        </w:rPr>
        <w:t>2.1.2.2 万盛经开区城市建设配套项目房建类项目（工程监理，包含4个子项目），审计期间：2025年5月（合同签订）—2026年6月30日。</w:t>
      </w:r>
    </w:p>
    <w:p w14:paraId="110D970D">
      <w:pPr>
        <w:adjustRightInd w:val="0"/>
        <w:snapToGrid w:val="0"/>
        <w:spacing w:line="400" w:lineRule="exact"/>
        <w:ind w:firstLine="420" w:firstLineChars="200"/>
        <w:rPr>
          <w:rFonts w:ascii="宋体" w:hAnsi="宋体" w:cs="宋体"/>
          <w:highlight w:val="none"/>
        </w:rPr>
      </w:pPr>
      <w:r>
        <w:rPr>
          <w:rFonts w:hint="eastAsia" w:ascii="宋体" w:hAnsi="宋体" w:cs="宋体"/>
          <w:highlight w:val="none"/>
        </w:rPr>
        <w:t>2.1.2.3 万盛经开区城市建设配套项目市政类项目（工程监理，包含5个子项目），审计期间：2025年5月（合同签订）—2026年6月30日。</w:t>
      </w:r>
    </w:p>
    <w:p w14:paraId="66427DDF">
      <w:pPr>
        <w:adjustRightInd w:val="0"/>
        <w:snapToGrid w:val="0"/>
        <w:spacing w:line="400" w:lineRule="exact"/>
        <w:ind w:firstLine="420" w:firstLineChars="200"/>
        <w:rPr>
          <w:rFonts w:ascii="宋体" w:hAnsi="宋体" w:cs="宋体"/>
          <w:highlight w:val="none"/>
        </w:rPr>
      </w:pPr>
      <w:r>
        <w:rPr>
          <w:rFonts w:hint="eastAsia" w:ascii="宋体" w:hAnsi="宋体" w:cs="宋体"/>
          <w:highlight w:val="none"/>
        </w:rPr>
        <w:t>2.1.3配套支撑服务。提供现场审计、底稿取证、资料答疑；协助梳理整改事项，出具问题优化建议材料。</w:t>
      </w:r>
    </w:p>
    <w:p w14:paraId="4C562C62">
      <w:pPr>
        <w:adjustRightInd w:val="0"/>
        <w:snapToGrid w:val="0"/>
        <w:spacing w:line="400" w:lineRule="exact"/>
        <w:ind w:firstLine="422" w:firstLineChars="200"/>
        <w:rPr>
          <w:rFonts w:ascii="宋体" w:hAnsi="宋体" w:cs="宋体"/>
          <w:highlight w:val="none"/>
        </w:rPr>
      </w:pPr>
      <w:r>
        <w:rPr>
          <w:rFonts w:hint="eastAsia" w:ascii="宋体" w:hAnsi="宋体" w:cs="宋体"/>
          <w:b/>
          <w:bCs/>
          <w:highlight w:val="none"/>
        </w:rPr>
        <w:t>2.</w:t>
      </w:r>
      <w:r>
        <w:rPr>
          <w:rFonts w:hint="eastAsia" w:ascii="宋体" w:hAnsi="宋体" w:cs="宋体"/>
          <w:b/>
          <w:bCs/>
          <w:highlight w:val="none"/>
          <w:lang w:val="en-US" w:eastAsia="zh-CN"/>
        </w:rPr>
        <w:t>2、</w:t>
      </w:r>
      <w:r>
        <w:rPr>
          <w:rFonts w:hint="eastAsia" w:ascii="宋体" w:hAnsi="宋体" w:cs="宋体"/>
          <w:b/>
          <w:bCs/>
          <w:highlight w:val="none"/>
        </w:rPr>
        <w:t>本项目最高限价：</w:t>
      </w:r>
      <w:r>
        <w:rPr>
          <w:rFonts w:hint="eastAsia" w:ascii="宋体" w:hAnsi="宋体" w:cs="宋体"/>
          <w:highlight w:val="none"/>
          <w:u w:val="single"/>
        </w:rPr>
        <w:t>2</w:t>
      </w:r>
      <w:r>
        <w:rPr>
          <w:rFonts w:ascii="宋体" w:hAnsi="宋体" w:cs="宋体"/>
          <w:highlight w:val="none"/>
          <w:u w:val="single"/>
        </w:rPr>
        <w:t>0</w:t>
      </w:r>
      <w:r>
        <w:rPr>
          <w:rFonts w:hint="eastAsia" w:ascii="宋体" w:hAnsi="宋体" w:cs="宋体"/>
          <w:highlight w:val="none"/>
          <w:u w:val="single"/>
        </w:rPr>
        <w:t>0000元</w:t>
      </w:r>
      <w:r>
        <w:rPr>
          <w:rFonts w:hint="eastAsia" w:ascii="宋体" w:hAnsi="宋体" w:cs="宋体"/>
          <w:highlight w:val="none"/>
        </w:rPr>
        <w:t>。</w:t>
      </w:r>
    </w:p>
    <w:p w14:paraId="107B44FF">
      <w:pPr>
        <w:pStyle w:val="4"/>
        <w:ind w:firstLine="422"/>
        <w:rPr>
          <w:rFonts w:eastAsia="宋体"/>
          <w:sz w:val="21"/>
          <w:szCs w:val="21"/>
          <w:highlight w:val="none"/>
        </w:rPr>
      </w:pPr>
      <w:r>
        <w:rPr>
          <w:rFonts w:hint="eastAsia" w:eastAsia="宋体"/>
          <w:b/>
          <w:sz w:val="21"/>
          <w:szCs w:val="21"/>
          <w:highlight w:val="none"/>
        </w:rPr>
        <w:t>2.</w:t>
      </w:r>
      <w:r>
        <w:rPr>
          <w:rFonts w:hint="eastAsia" w:eastAsia="宋体"/>
          <w:b/>
          <w:sz w:val="21"/>
          <w:szCs w:val="21"/>
          <w:highlight w:val="none"/>
          <w:lang w:val="en-US" w:eastAsia="zh-CN"/>
        </w:rPr>
        <w:t>3、</w:t>
      </w:r>
      <w:r>
        <w:rPr>
          <w:rFonts w:hint="eastAsia" w:eastAsia="宋体"/>
          <w:b/>
          <w:bCs/>
          <w:color w:val="auto"/>
          <w:sz w:val="21"/>
          <w:szCs w:val="21"/>
          <w:highlight w:val="none"/>
        </w:rPr>
        <w:t>服务期</w:t>
      </w:r>
      <w:r>
        <w:rPr>
          <w:rFonts w:hint="eastAsia"/>
          <w:b/>
          <w:bCs/>
          <w:highlight w:val="none"/>
        </w:rPr>
        <w:t>：</w:t>
      </w:r>
      <w:r>
        <w:rPr>
          <w:rFonts w:hint="eastAsia" w:eastAsia="宋体"/>
          <w:sz w:val="21"/>
          <w:szCs w:val="21"/>
          <w:highlight w:val="none"/>
        </w:rPr>
        <w:t>从合同签订之日起至2026年年底前完成全部7个审计项目。</w:t>
      </w:r>
    </w:p>
    <w:p w14:paraId="1FB4ED11">
      <w:pPr>
        <w:tabs>
          <w:tab w:val="left" w:pos="1800"/>
        </w:tabs>
        <w:spacing w:line="360" w:lineRule="auto"/>
        <w:ind w:right="-874" w:rightChars="-416"/>
        <w:rPr>
          <w:rFonts w:ascii="宋体"/>
          <w:b/>
          <w:bCs/>
          <w:highlight w:val="none"/>
        </w:rPr>
      </w:pPr>
      <w:bookmarkStart w:id="30" w:name="_Toc120633467"/>
      <w:r>
        <w:rPr>
          <w:rFonts w:hint="eastAsia" w:ascii="宋体" w:hAnsi="宋体" w:cs="宋体"/>
          <w:b/>
          <w:bCs/>
          <w:highlight w:val="none"/>
        </w:rPr>
        <w:t>三、询比申请人资格要求：</w:t>
      </w:r>
      <w:bookmarkEnd w:id="28"/>
      <w:bookmarkEnd w:id="29"/>
      <w:bookmarkEnd w:id="30"/>
    </w:p>
    <w:p w14:paraId="79411375">
      <w:pPr>
        <w:adjustRightInd w:val="0"/>
        <w:snapToGrid w:val="0"/>
        <w:spacing w:line="360" w:lineRule="auto"/>
        <w:ind w:firstLine="420" w:firstLineChars="200"/>
        <w:jc w:val="left"/>
        <w:rPr>
          <w:rFonts w:ascii="宋体" w:hAnsi="宋体" w:cs="宋体"/>
        </w:rPr>
      </w:pPr>
      <w:bookmarkStart w:id="31" w:name="_Toc120633472"/>
      <w:bookmarkStart w:id="32" w:name="_Toc2986"/>
      <w:bookmarkStart w:id="33" w:name="_Toc28087"/>
      <w:r>
        <w:rPr>
          <w:rFonts w:hint="eastAsia" w:ascii="宋体" w:hAnsi="宋体" w:cs="宋体"/>
        </w:rPr>
        <w:t>3.1、具备有效的营业执照（询比申请人若为分公司，须提供总公司对本项目出具的授权书）</w:t>
      </w:r>
    </w:p>
    <w:p w14:paraId="34F4343E">
      <w:pPr>
        <w:adjustRightInd w:val="0"/>
        <w:snapToGrid w:val="0"/>
        <w:spacing w:line="360" w:lineRule="auto"/>
        <w:ind w:firstLine="422" w:firstLineChars="200"/>
        <w:jc w:val="left"/>
        <w:rPr>
          <w:rFonts w:ascii="宋体" w:hAnsi="宋体" w:cs="宋体"/>
        </w:rPr>
      </w:pPr>
      <w:r>
        <w:rPr>
          <w:rFonts w:hint="eastAsia" w:ascii="宋体" w:hAnsi="宋体" w:cs="宋体"/>
          <w:b/>
          <w:bCs/>
        </w:rPr>
        <w:t>提供</w:t>
      </w:r>
      <w:r>
        <w:rPr>
          <w:rFonts w:hint="eastAsia" w:ascii="宋体" w:hAnsi="宋体" w:cs="宋体"/>
        </w:rPr>
        <w:t>：有效的营业执照复印件并加盖询比申请人公章。询比申请人若为分公司，须提供总公司对本项目出具的授权书原件（格式自拟）。</w:t>
      </w:r>
    </w:p>
    <w:p w14:paraId="57BB9A7E">
      <w:pPr>
        <w:adjustRightInd w:val="0"/>
        <w:snapToGrid w:val="0"/>
        <w:spacing w:line="360" w:lineRule="auto"/>
        <w:ind w:firstLine="420" w:firstLineChars="200"/>
        <w:jc w:val="left"/>
        <w:rPr>
          <w:rFonts w:ascii="宋体" w:hAnsi="宋体" w:cs="宋体"/>
        </w:rPr>
      </w:pPr>
      <w:r>
        <w:rPr>
          <w:rFonts w:hint="eastAsia" w:ascii="宋体" w:hAnsi="宋体" w:cs="宋体"/>
        </w:rPr>
        <w:t>3.2、具备行政部门颁发的会计师事务所执业证书。</w:t>
      </w:r>
    </w:p>
    <w:p w14:paraId="771EF9F1">
      <w:pPr>
        <w:adjustRightInd w:val="0"/>
        <w:snapToGrid w:val="0"/>
        <w:spacing w:line="360" w:lineRule="auto"/>
        <w:ind w:firstLine="422" w:firstLineChars="200"/>
        <w:jc w:val="left"/>
        <w:rPr>
          <w:rFonts w:ascii="宋体" w:hAnsi="宋体" w:cs="宋体"/>
        </w:rPr>
      </w:pPr>
      <w:r>
        <w:rPr>
          <w:rFonts w:hint="eastAsia" w:ascii="宋体" w:hAnsi="宋体" w:cs="宋体"/>
          <w:b/>
          <w:bCs/>
        </w:rPr>
        <w:t>提供：</w:t>
      </w:r>
      <w:r>
        <w:rPr>
          <w:rFonts w:hint="eastAsia" w:ascii="宋体" w:hAnsi="宋体" w:cs="宋体"/>
        </w:rPr>
        <w:t>有效的会计师事务所执业证书复印件加盖询比申请人公章。</w:t>
      </w:r>
    </w:p>
    <w:p w14:paraId="7FAED108">
      <w:pPr>
        <w:adjustRightInd w:val="0"/>
        <w:snapToGrid w:val="0"/>
        <w:spacing w:line="360" w:lineRule="auto"/>
        <w:ind w:firstLine="420" w:firstLineChars="200"/>
        <w:jc w:val="left"/>
        <w:rPr>
          <w:rFonts w:ascii="宋体" w:hAnsi="宋体" w:cs="宋体"/>
        </w:rPr>
      </w:pPr>
      <w:r>
        <w:rPr>
          <w:rFonts w:hint="eastAsia" w:ascii="宋体" w:hAnsi="宋体" w:cs="宋体"/>
        </w:rPr>
        <w:t>3.3、信誉要求：询比申请人具有良好的商业信誉和健全的财务会计制度，有依法缴纳税收和社会保障资金的良好记录，且不得存在以下情形之一：</w:t>
      </w:r>
    </w:p>
    <w:p w14:paraId="1D638E2F">
      <w:pPr>
        <w:adjustRightInd w:val="0"/>
        <w:snapToGrid w:val="0"/>
        <w:spacing w:line="400" w:lineRule="exact"/>
        <w:ind w:firstLine="420" w:firstLineChars="200"/>
        <w:rPr>
          <w:rFonts w:ascii="宋体" w:hAnsi="宋体" w:cs="宋体"/>
        </w:rPr>
      </w:pPr>
      <w:r>
        <w:rPr>
          <w:rFonts w:hint="eastAsia" w:ascii="宋体" w:hAnsi="宋体" w:cs="宋体"/>
        </w:rPr>
        <w:t xml:space="preserve">（1）与采购方存在利害关系且可能影响采购活动公正性； </w:t>
      </w:r>
    </w:p>
    <w:p w14:paraId="56E695DA">
      <w:pPr>
        <w:adjustRightInd w:val="0"/>
        <w:snapToGrid w:val="0"/>
        <w:spacing w:line="400" w:lineRule="exact"/>
        <w:ind w:firstLine="420" w:firstLineChars="200"/>
        <w:rPr>
          <w:rFonts w:ascii="宋体" w:hAnsi="宋体" w:cs="宋体"/>
        </w:rPr>
      </w:pPr>
      <w:r>
        <w:rPr>
          <w:rFonts w:hint="eastAsia" w:ascii="宋体" w:hAnsi="宋体" w:cs="宋体"/>
        </w:rPr>
        <w:t xml:space="preserve">（2）与本采购项目的其他供应商为同一个单位负责人； </w:t>
      </w:r>
    </w:p>
    <w:p w14:paraId="66E4E4F2">
      <w:pPr>
        <w:adjustRightInd w:val="0"/>
        <w:snapToGrid w:val="0"/>
        <w:spacing w:line="400" w:lineRule="exact"/>
        <w:ind w:firstLine="420" w:firstLineChars="200"/>
        <w:rPr>
          <w:rFonts w:ascii="宋体" w:hAnsi="宋体" w:cs="宋体"/>
        </w:rPr>
      </w:pPr>
      <w:r>
        <w:rPr>
          <w:rFonts w:hint="eastAsia" w:ascii="宋体" w:hAnsi="宋体" w:cs="宋体"/>
        </w:rPr>
        <w:t xml:space="preserve">（3）与本采购项目的其他供应商存在控股、管理关系； </w:t>
      </w:r>
    </w:p>
    <w:p w14:paraId="5B2FB536">
      <w:pPr>
        <w:adjustRightInd w:val="0"/>
        <w:snapToGrid w:val="0"/>
        <w:spacing w:line="400" w:lineRule="exact"/>
        <w:ind w:firstLine="420" w:firstLineChars="200"/>
        <w:rPr>
          <w:rFonts w:ascii="宋体" w:hAnsi="宋体" w:cs="宋体"/>
        </w:rPr>
      </w:pPr>
      <w:r>
        <w:rPr>
          <w:rFonts w:hint="eastAsia" w:ascii="宋体" w:hAnsi="宋体" w:cs="宋体"/>
        </w:rPr>
        <w:t xml:space="preserve">（4）被依法暂停或者取消投标资格； </w:t>
      </w:r>
    </w:p>
    <w:p w14:paraId="4645ABD8">
      <w:pPr>
        <w:adjustRightInd w:val="0"/>
        <w:snapToGrid w:val="0"/>
        <w:spacing w:line="400" w:lineRule="exact"/>
        <w:ind w:firstLine="420" w:firstLineChars="200"/>
        <w:rPr>
          <w:rFonts w:ascii="宋体" w:hAnsi="宋体" w:cs="宋体"/>
        </w:rPr>
      </w:pPr>
      <w:r>
        <w:rPr>
          <w:rFonts w:hint="eastAsia" w:ascii="宋体" w:hAnsi="宋体" w:cs="宋体"/>
        </w:rPr>
        <w:t xml:space="preserve">（5）被其他采购方列入黑名单并在其官网公布的； </w:t>
      </w:r>
    </w:p>
    <w:p w14:paraId="58AB17F9">
      <w:pPr>
        <w:adjustRightInd w:val="0"/>
        <w:snapToGrid w:val="0"/>
        <w:spacing w:line="400" w:lineRule="exact"/>
        <w:ind w:firstLine="420" w:firstLineChars="200"/>
        <w:rPr>
          <w:rFonts w:ascii="宋体" w:hAnsi="宋体" w:cs="宋体"/>
        </w:rPr>
      </w:pPr>
      <w:r>
        <w:rPr>
          <w:rFonts w:hint="eastAsia" w:ascii="宋体" w:hAnsi="宋体" w:cs="宋体"/>
        </w:rPr>
        <w:t xml:space="preserve">（6）被责令停产停业、暂扣或者吊销许可证、暂扣或者吊销执照； </w:t>
      </w:r>
    </w:p>
    <w:p w14:paraId="443D4B0B">
      <w:pPr>
        <w:adjustRightInd w:val="0"/>
        <w:snapToGrid w:val="0"/>
        <w:spacing w:line="400" w:lineRule="exact"/>
        <w:ind w:firstLine="420" w:firstLineChars="200"/>
        <w:rPr>
          <w:rFonts w:ascii="宋体" w:hAnsi="宋体" w:cs="宋体"/>
        </w:rPr>
      </w:pPr>
      <w:r>
        <w:rPr>
          <w:rFonts w:hint="eastAsia" w:ascii="宋体" w:hAnsi="宋体" w:cs="宋体"/>
        </w:rPr>
        <w:t xml:space="preserve">（7）进入清算程序，或被宣告破产，或其他丧失履约能力的情形； </w:t>
      </w:r>
    </w:p>
    <w:p w14:paraId="033CE87E">
      <w:pPr>
        <w:adjustRightInd w:val="0"/>
        <w:snapToGrid w:val="0"/>
        <w:spacing w:line="400" w:lineRule="exact"/>
        <w:ind w:firstLine="420" w:firstLineChars="200"/>
        <w:rPr>
          <w:rFonts w:ascii="宋体" w:hAnsi="宋体" w:cs="宋体"/>
        </w:rPr>
      </w:pPr>
      <w:r>
        <w:rPr>
          <w:rFonts w:hint="eastAsia" w:ascii="宋体" w:hAnsi="宋体" w:cs="宋体"/>
        </w:rPr>
        <w:t xml:space="preserve">（8）在最近三年内发生重大审计执业质量问题、行政处罚记录； </w:t>
      </w:r>
    </w:p>
    <w:p w14:paraId="5369474C">
      <w:pPr>
        <w:adjustRightInd w:val="0"/>
        <w:snapToGrid w:val="0"/>
        <w:spacing w:line="400" w:lineRule="exact"/>
        <w:ind w:left="420" w:leftChars="200"/>
        <w:rPr>
          <w:rFonts w:ascii="宋体" w:hAnsi="宋体" w:cs="宋体"/>
        </w:rPr>
      </w:pPr>
      <w:r>
        <w:rPr>
          <w:rFonts w:hint="eastAsia" w:ascii="宋体" w:hAnsi="宋体" w:cs="宋体"/>
        </w:rPr>
        <w:t>（9）被市场监督管理机关在全国企业信用信息公示系统中列入经营异常、严重违法失信企业名单； （10）近三年存在注册会计师行业主管部门作出的行政处罚、行业惩戒记录。</w:t>
      </w:r>
    </w:p>
    <w:p w14:paraId="250DD038">
      <w:pPr>
        <w:adjustRightInd w:val="0"/>
        <w:snapToGrid w:val="0"/>
        <w:spacing w:line="360" w:lineRule="auto"/>
        <w:ind w:firstLine="422" w:firstLineChars="200"/>
        <w:jc w:val="left"/>
        <w:rPr>
          <w:rFonts w:ascii="宋体" w:hAnsi="宋体" w:cs="宋体"/>
        </w:rPr>
      </w:pPr>
      <w:r>
        <w:rPr>
          <w:rFonts w:hint="eastAsia" w:ascii="宋体" w:hAnsi="宋体" w:cs="宋体"/>
          <w:b/>
          <w:bCs/>
        </w:rPr>
        <w:t>提供：</w:t>
      </w:r>
      <w:r>
        <w:rPr>
          <w:rFonts w:hint="eastAsia" w:ascii="宋体" w:hAnsi="宋体" w:cs="宋体"/>
        </w:rPr>
        <w:t>①信用中国网站（https://www.creditchina.gov.cn/zhuanxiangchaxun/zhongdashuishouweifaanjian/）中重大税收违法失信主体的查询结果截图，②国家企业信用信息公示系统（https://www.gsxt.gov.cn/index.html）中经营异常名录的查询结果截图，③国家企业信用信息公示系统（https://www.gsxt.gov.cn/index.html）中严重违法失信名单的查询结果截图，④中国执行信息公开网（https://zxgk.court.gov.cn/shixin/）中失信被执行人名单的查询结果截图，以上查询结果截图加盖询比申请人公章。</w:t>
      </w:r>
    </w:p>
    <w:p w14:paraId="1F01CE54">
      <w:pPr>
        <w:adjustRightInd w:val="0"/>
        <w:snapToGrid w:val="0"/>
        <w:spacing w:line="360" w:lineRule="auto"/>
        <w:ind w:firstLine="420" w:firstLineChars="200"/>
        <w:jc w:val="left"/>
        <w:rPr>
          <w:rFonts w:ascii="宋体" w:hAnsi="宋体" w:cs="宋体"/>
        </w:rPr>
      </w:pPr>
      <w:r>
        <w:rPr>
          <w:rFonts w:hint="eastAsia" w:ascii="宋体" w:hAnsi="宋体" w:cs="宋体"/>
        </w:rPr>
        <w:t>3.4、参加本次询比活动的供应商须为已在商城注册并审查通过的供应商。</w:t>
      </w:r>
    </w:p>
    <w:p w14:paraId="60B280D2">
      <w:pPr>
        <w:pStyle w:val="2"/>
        <w:tabs>
          <w:tab w:val="left" w:pos="271"/>
        </w:tabs>
        <w:rPr>
          <w:highlight w:val="yellow"/>
        </w:rPr>
      </w:pPr>
      <w:r>
        <w:rPr>
          <w:rFonts w:hint="eastAsia"/>
          <w:sz w:val="21"/>
          <w:szCs w:val="21"/>
        </w:rPr>
        <w:t>3.5、2023年1月1日至投标截止日（以合同签订时间为准），供应商累计完成国有企业经济责任审计、工程项目专项审计同类业绩不少于3个。</w:t>
      </w:r>
    </w:p>
    <w:p w14:paraId="52E0560C">
      <w:pPr>
        <w:adjustRightInd w:val="0"/>
        <w:snapToGrid w:val="0"/>
        <w:spacing w:line="360" w:lineRule="auto"/>
        <w:ind w:firstLine="422" w:firstLineChars="200"/>
        <w:jc w:val="left"/>
        <w:rPr>
          <w:rFonts w:ascii="宋体" w:hAnsi="宋体" w:cs="宋体"/>
        </w:rPr>
      </w:pPr>
      <w:r>
        <w:rPr>
          <w:rFonts w:hint="eastAsia" w:ascii="宋体" w:hAnsi="宋体" w:cs="宋体"/>
          <w:b/>
          <w:bCs/>
        </w:rPr>
        <w:t>提供：</w:t>
      </w:r>
      <w:r>
        <w:rPr>
          <w:rFonts w:hint="eastAsia" w:ascii="宋体" w:hAnsi="宋体" w:cs="宋体"/>
        </w:rPr>
        <w:t>提供合同协议书关键页及盖章页复印件，敏感性内容可以遮挡，合同主体名称与供应商名称须一致，加盖供应商公章。</w:t>
      </w:r>
    </w:p>
    <w:p w14:paraId="3472B5D8">
      <w:pPr>
        <w:adjustRightInd w:val="0"/>
        <w:snapToGrid w:val="0"/>
        <w:spacing w:line="360" w:lineRule="auto"/>
        <w:ind w:firstLine="420" w:firstLineChars="200"/>
        <w:jc w:val="left"/>
        <w:rPr>
          <w:rFonts w:ascii="宋体" w:hAnsi="宋体" w:cs="宋体"/>
        </w:rPr>
      </w:pPr>
      <w:r>
        <w:rPr>
          <w:rFonts w:hint="eastAsia" w:ascii="宋体" w:hAnsi="宋体" w:cs="宋体"/>
        </w:rPr>
        <w:t>3.6、服务团队主要人员</w:t>
      </w:r>
    </w:p>
    <w:p w14:paraId="5ADCE7BD">
      <w:pPr>
        <w:adjustRightInd w:val="0"/>
        <w:snapToGrid w:val="0"/>
        <w:spacing w:line="360" w:lineRule="auto"/>
        <w:ind w:firstLine="420" w:firstLineChars="200"/>
        <w:jc w:val="left"/>
        <w:rPr>
          <w:rFonts w:ascii="宋体" w:hAnsi="宋体" w:cs="宋体"/>
        </w:rPr>
      </w:pPr>
      <w:r>
        <w:rPr>
          <w:rFonts w:hint="eastAsia" w:ascii="宋体" w:hAnsi="宋体" w:cs="宋体"/>
        </w:rPr>
        <w:t>拟派现场审计服务团队人员不少于4人（含项目负责人），其中注册会计师不少于2人，项目负责人注册执业有效、社保缴纳于本单位，具备 3 年及以上同类审计项目主持经验。</w:t>
      </w:r>
    </w:p>
    <w:p w14:paraId="6124E539">
      <w:pPr>
        <w:pStyle w:val="2"/>
        <w:tabs>
          <w:tab w:val="left" w:pos="271"/>
        </w:tabs>
        <w:rPr>
          <w:sz w:val="21"/>
          <w:szCs w:val="21"/>
          <w:highlight w:val="none"/>
        </w:rPr>
      </w:pPr>
      <w:r>
        <w:rPr>
          <w:rFonts w:hint="eastAsia"/>
          <w:b/>
          <w:bCs/>
          <w:sz w:val="21"/>
          <w:szCs w:val="21"/>
        </w:rPr>
        <w:t>提供：</w:t>
      </w:r>
      <w:r>
        <w:rPr>
          <w:rFonts w:hint="eastAsia"/>
          <w:sz w:val="21"/>
          <w:szCs w:val="21"/>
        </w:rPr>
        <w:t>提供以上拟派人员执业证书、年检合格佐证材料、社保证明、对应业绩证明复印件，加盖供应商公章。</w:t>
      </w:r>
    </w:p>
    <w:p w14:paraId="04F70A74">
      <w:pPr>
        <w:adjustRightInd w:val="0"/>
        <w:snapToGrid w:val="0"/>
        <w:spacing w:line="360" w:lineRule="auto"/>
        <w:ind w:firstLine="420" w:firstLineChars="200"/>
        <w:jc w:val="left"/>
        <w:rPr>
          <w:rFonts w:ascii="宋体" w:hAnsi="宋体" w:cs="宋体"/>
          <w:highlight w:val="none"/>
        </w:rPr>
      </w:pPr>
      <w:r>
        <w:rPr>
          <w:rFonts w:hint="eastAsia" w:ascii="宋体" w:hAnsi="宋体" w:cs="宋体"/>
          <w:highlight w:val="none"/>
        </w:rPr>
        <w:t>3.7、本次询比不接受联合体投标，也不允许转包及分包，分支机构参选的，须同步提供总所完整授权文件。</w:t>
      </w:r>
    </w:p>
    <w:p w14:paraId="194386E1">
      <w:pPr>
        <w:adjustRightInd w:val="0"/>
        <w:snapToGrid w:val="0"/>
        <w:spacing w:line="360" w:lineRule="auto"/>
        <w:ind w:firstLine="422" w:firstLineChars="200"/>
        <w:jc w:val="left"/>
        <w:rPr>
          <w:rFonts w:ascii="宋体" w:hAnsi="宋体" w:cs="宋体"/>
        </w:rPr>
      </w:pPr>
      <w:r>
        <w:rPr>
          <w:rFonts w:hint="eastAsia" w:ascii="宋体" w:hAnsi="宋体" w:cs="宋体"/>
          <w:b/>
          <w:bCs/>
        </w:rPr>
        <w:t>提供：</w:t>
      </w:r>
      <w:r>
        <w:rPr>
          <w:rFonts w:hint="eastAsia" w:ascii="宋体" w:hAnsi="宋体" w:cs="宋体"/>
        </w:rPr>
        <w:t>询比申请人须对本要求提供承诺，格式详见第三章响应文件格式。</w:t>
      </w:r>
    </w:p>
    <w:p w14:paraId="114FF7B1">
      <w:pPr>
        <w:adjustRightInd w:val="0"/>
        <w:snapToGrid w:val="0"/>
        <w:spacing w:line="360" w:lineRule="auto"/>
        <w:ind w:firstLine="422" w:firstLineChars="200"/>
        <w:rPr>
          <w:rFonts w:ascii="宋体" w:hAnsi="宋体" w:cs="宋体"/>
          <w:b/>
          <w:bCs/>
        </w:rPr>
      </w:pPr>
      <w:r>
        <w:rPr>
          <w:rFonts w:hint="eastAsia" w:ascii="宋体" w:hAnsi="宋体" w:cs="宋体"/>
          <w:b/>
          <w:bCs/>
        </w:rPr>
        <w:t xml:space="preserve">（特别说明：（1）上述要求提交的相关证明材料均须加盖询比申请人公章并装入响应文件中，证明材料须清晰可辨，有一条不满足，则响应文件由评审委员会作否决竞选处理。 </w:t>
      </w:r>
    </w:p>
    <w:p w14:paraId="09D563EA">
      <w:pPr>
        <w:adjustRightInd w:val="0"/>
        <w:snapToGrid w:val="0"/>
        <w:spacing w:line="360" w:lineRule="auto"/>
        <w:ind w:firstLine="422" w:firstLineChars="200"/>
        <w:rPr>
          <w:rFonts w:ascii="宋体" w:hAnsi="宋体" w:cs="宋体"/>
          <w:b/>
          <w:bCs/>
        </w:rPr>
      </w:pPr>
      <w:r>
        <w:rPr>
          <w:rFonts w:hint="eastAsia" w:ascii="宋体" w:hAnsi="宋体" w:cs="宋体"/>
          <w:b/>
          <w:bCs/>
        </w:rPr>
        <w:t>（2）询比申请人提供的上述相关证明材料须真实有效，不存在弄虚作假情形。采购人在合同签订前均有权对询比申请人提供的资料进行核实，若发现弄虚作假，按相关规定取消其资格，询比申请人承担因此造成的相关责任并赔偿相应损失。）</w:t>
      </w:r>
    </w:p>
    <w:p w14:paraId="68264BE1">
      <w:pPr>
        <w:tabs>
          <w:tab w:val="left" w:pos="1800"/>
        </w:tabs>
        <w:spacing w:line="360" w:lineRule="auto"/>
        <w:ind w:right="-874" w:rightChars="-416"/>
        <w:rPr>
          <w:rFonts w:ascii="宋体"/>
          <w:b/>
          <w:bCs/>
        </w:rPr>
      </w:pPr>
      <w:r>
        <w:rPr>
          <w:rFonts w:hint="eastAsia" w:ascii="宋体" w:hAnsi="宋体" w:cs="宋体"/>
          <w:b/>
          <w:bCs/>
        </w:rPr>
        <w:t>四、询比限价、报价、评分说明（根据项目实际情况据实调整）</w:t>
      </w:r>
      <w:r>
        <w:rPr>
          <w:rFonts w:ascii="宋体" w:hAnsi="宋体" w:cs="宋体"/>
          <w:b/>
          <w:bCs/>
        </w:rPr>
        <w:t>:</w:t>
      </w:r>
      <w:bookmarkEnd w:id="31"/>
      <w:bookmarkEnd w:id="32"/>
      <w:bookmarkEnd w:id="33"/>
    </w:p>
    <w:p w14:paraId="58812B17">
      <w:pPr>
        <w:tabs>
          <w:tab w:val="left" w:pos="1800"/>
        </w:tabs>
        <w:spacing w:line="360" w:lineRule="auto"/>
        <w:ind w:firstLine="420" w:firstLineChars="200"/>
        <w:rPr>
          <w:rFonts w:ascii="宋体" w:hAnsi="宋体" w:cs="宋体"/>
        </w:rPr>
      </w:pPr>
      <w:bookmarkStart w:id="34" w:name="_Toc25906"/>
      <w:bookmarkStart w:id="35" w:name="_Toc120633473"/>
      <w:r>
        <w:rPr>
          <w:rFonts w:hint="eastAsia" w:ascii="宋体" w:hAnsi="宋体" w:cs="宋体"/>
        </w:rPr>
        <w:t>4.1、本项目总价包干，询比最高限价</w:t>
      </w:r>
      <w:r>
        <w:rPr>
          <w:rFonts w:hint="eastAsia" w:ascii="宋体" w:hAnsi="宋体" w:cs="宋体"/>
          <w:highlight w:val="none"/>
        </w:rPr>
        <w:t>为</w:t>
      </w:r>
      <w:r>
        <w:rPr>
          <w:rFonts w:hint="eastAsia" w:ascii="宋体" w:hAnsi="宋体" w:cs="宋体"/>
          <w:highlight w:val="none"/>
          <w:u w:val="single"/>
        </w:rPr>
        <w:t>2</w:t>
      </w:r>
      <w:r>
        <w:rPr>
          <w:rFonts w:ascii="宋体" w:hAnsi="宋体" w:cs="宋体"/>
          <w:highlight w:val="none"/>
          <w:u w:val="single"/>
        </w:rPr>
        <w:t>0</w:t>
      </w:r>
      <w:r>
        <w:rPr>
          <w:rFonts w:hint="eastAsia" w:ascii="宋体" w:hAnsi="宋体" w:cs="宋体"/>
          <w:highlight w:val="none"/>
          <w:u w:val="single"/>
        </w:rPr>
        <w:t>0000</w:t>
      </w:r>
      <w:r>
        <w:rPr>
          <w:rFonts w:hint="eastAsia" w:ascii="宋体" w:hAnsi="宋体" w:cs="宋体"/>
          <w:highlight w:val="none"/>
        </w:rPr>
        <w:t>元</w:t>
      </w:r>
      <w:bookmarkEnd w:id="34"/>
      <w:r>
        <w:rPr>
          <w:rFonts w:hint="eastAsia" w:ascii="宋体" w:hAnsi="宋体" w:cs="宋体"/>
          <w:highlight w:val="none"/>
        </w:rPr>
        <w:t>。询比申请人的响应报价不得超过采购人设置的最高限价，否则作否决竞选处理。询比申请人自行组织踏勘</w:t>
      </w:r>
      <w:r>
        <w:rPr>
          <w:rFonts w:hint="eastAsia" w:ascii="宋体" w:hAnsi="宋体" w:cs="宋体"/>
        </w:rPr>
        <w:t>现场、结合自身实际情况自主报价（报价保留小数点后两位）。</w:t>
      </w:r>
      <w:bookmarkEnd w:id="35"/>
    </w:p>
    <w:p w14:paraId="02C360B1">
      <w:pPr>
        <w:tabs>
          <w:tab w:val="left" w:pos="1800"/>
        </w:tabs>
        <w:spacing w:line="360" w:lineRule="auto"/>
        <w:ind w:firstLine="420" w:firstLineChars="200"/>
        <w:rPr>
          <w:rFonts w:ascii="宋体" w:hAnsi="宋体" w:cs="宋体"/>
        </w:rPr>
      </w:pPr>
      <w:bookmarkStart w:id="36" w:name="_Toc120633474"/>
      <w:bookmarkStart w:id="37" w:name="_Toc20735"/>
      <w:r>
        <w:rPr>
          <w:rFonts w:hint="eastAsia" w:ascii="宋体" w:hAnsi="宋体" w:cs="宋体"/>
        </w:rPr>
        <w:t>4.2、</w:t>
      </w:r>
      <w:bookmarkEnd w:id="36"/>
      <w:bookmarkEnd w:id="37"/>
      <w:r>
        <w:rPr>
          <w:rFonts w:hint="eastAsia" w:ascii="宋体" w:hAnsi="宋体" w:cs="宋体"/>
        </w:rPr>
        <w:t>该响应报价包括但不限于完成本项目的管理费、人工费、社会保险费、意外保险费、工伤/亡风险费用、税费等全部服务所发生及可能发生的一切费用。</w:t>
      </w:r>
    </w:p>
    <w:p w14:paraId="5594EC25">
      <w:pPr>
        <w:tabs>
          <w:tab w:val="left" w:pos="1800"/>
        </w:tabs>
        <w:spacing w:line="360" w:lineRule="auto"/>
        <w:ind w:right="-874" w:rightChars="-416" w:firstLine="420" w:firstLineChars="200"/>
        <w:rPr>
          <w:rFonts w:ascii="宋体" w:hAnsi="宋体" w:cs="宋体"/>
        </w:rPr>
      </w:pPr>
      <w:r>
        <w:rPr>
          <w:rFonts w:hint="eastAsia" w:ascii="宋体" w:hAnsi="宋体" w:cs="宋体"/>
        </w:rPr>
        <w:t>4.3、评分说明：采用综合评估法。</w:t>
      </w:r>
    </w:p>
    <w:p w14:paraId="6EF30828">
      <w:pPr>
        <w:snapToGrid w:val="0"/>
        <w:spacing w:line="360" w:lineRule="auto"/>
        <w:rPr>
          <w:rFonts w:ascii="宋体" w:hAnsi="宋体" w:cs="宋体"/>
        </w:rPr>
      </w:pPr>
      <w:bookmarkStart w:id="38" w:name="_Toc9356"/>
      <w:bookmarkStart w:id="39" w:name="_Toc3791"/>
      <w:bookmarkStart w:id="40" w:name="_Toc120633475"/>
      <w:r>
        <w:rPr>
          <w:rFonts w:hint="eastAsia" w:ascii="宋体" w:hAnsi="宋体" w:cs="宋体"/>
          <w:b/>
          <w:bCs/>
        </w:rPr>
        <w:t>五、报价及结算币种：</w:t>
      </w:r>
      <w:r>
        <w:rPr>
          <w:rFonts w:hint="eastAsia" w:ascii="宋体" w:hAnsi="宋体" w:cs="宋体"/>
        </w:rPr>
        <w:t>人民币。</w:t>
      </w:r>
      <w:bookmarkEnd w:id="38"/>
      <w:bookmarkEnd w:id="39"/>
      <w:bookmarkEnd w:id="40"/>
    </w:p>
    <w:p w14:paraId="2390276E">
      <w:pPr>
        <w:snapToGrid w:val="0"/>
        <w:spacing w:line="360" w:lineRule="auto"/>
        <w:rPr>
          <w:rFonts w:ascii="宋体"/>
        </w:rPr>
      </w:pPr>
      <w:bookmarkStart w:id="41" w:name="_Toc30064"/>
      <w:bookmarkStart w:id="42" w:name="_Toc10726"/>
      <w:bookmarkStart w:id="43" w:name="_Toc120633476"/>
      <w:r>
        <w:rPr>
          <w:rFonts w:hint="eastAsia" w:ascii="宋体" w:hAnsi="宋体" w:cs="宋体"/>
          <w:b/>
          <w:bCs/>
        </w:rPr>
        <w:t>六、询比有效期：</w:t>
      </w:r>
      <w:r>
        <w:rPr>
          <w:rFonts w:hint="eastAsia" w:ascii="宋体" w:hAnsi="宋体" w:cs="宋体"/>
          <w:u w:val="single"/>
        </w:rPr>
        <w:t>90</w:t>
      </w:r>
      <w:r>
        <w:rPr>
          <w:rFonts w:hint="eastAsia" w:ascii="宋体" w:hAnsi="宋体" w:cs="宋体"/>
        </w:rPr>
        <w:t>日历天（从提交响应文件截止日起计算）</w:t>
      </w:r>
      <w:bookmarkEnd w:id="41"/>
      <w:bookmarkEnd w:id="42"/>
      <w:bookmarkEnd w:id="43"/>
    </w:p>
    <w:p w14:paraId="481ED120">
      <w:pPr>
        <w:tabs>
          <w:tab w:val="left" w:pos="1080"/>
        </w:tabs>
        <w:spacing w:line="360" w:lineRule="auto"/>
        <w:rPr>
          <w:rFonts w:ascii="宋体"/>
          <w:b/>
          <w:bCs/>
        </w:rPr>
      </w:pPr>
      <w:bookmarkStart w:id="44" w:name="_Toc15441"/>
      <w:bookmarkStart w:id="45" w:name="_Toc17630"/>
      <w:bookmarkStart w:id="46" w:name="_Toc120633477"/>
      <w:r>
        <w:rPr>
          <w:rFonts w:hint="eastAsia" w:ascii="宋体" w:hAnsi="宋体" w:cs="宋体"/>
          <w:b/>
          <w:bCs/>
        </w:rPr>
        <w:t>七、响应文件的组成：</w:t>
      </w:r>
      <w:bookmarkEnd w:id="44"/>
      <w:bookmarkEnd w:id="45"/>
      <w:bookmarkEnd w:id="46"/>
      <w:r>
        <w:rPr>
          <w:rFonts w:hint="eastAsia" w:ascii="宋体" w:hAnsi="宋体" w:cs="宋体"/>
        </w:rPr>
        <w:t>详见“第三章  响应文件格式”</w:t>
      </w:r>
    </w:p>
    <w:p w14:paraId="66975EA7">
      <w:pPr>
        <w:pStyle w:val="11"/>
        <w:spacing w:line="360" w:lineRule="auto"/>
        <w:ind w:firstLine="420" w:firstLineChars="200"/>
        <w:rPr>
          <w:sz w:val="21"/>
          <w:szCs w:val="21"/>
        </w:rPr>
      </w:pPr>
      <w:r>
        <w:rPr>
          <w:rFonts w:hint="eastAsia"/>
          <w:sz w:val="21"/>
          <w:szCs w:val="21"/>
        </w:rPr>
        <w:t>注意：以上资料应提供复印件并加盖单位公章，否则作否决竞选处理。响应文件应提交正本1份，副本1份，正副本分别装订成册，并应编制目录、标注页码，装订后放入一大袋，必须保证响应文件密封并在大袋上加盖询比申请人单位公章，否则，采购人对由于响应文件装订松散而造成的丢失或其他后果不承担任何责任。未按规定密封的响应文件将被拒收。</w:t>
      </w:r>
    </w:p>
    <w:p w14:paraId="0A09B518">
      <w:pPr>
        <w:pStyle w:val="11"/>
        <w:spacing w:line="360" w:lineRule="auto"/>
        <w:ind w:firstLine="0" w:firstLineChars="0"/>
        <w:rPr>
          <w:rFonts w:hint="eastAsia"/>
          <w:b/>
          <w:bCs/>
          <w:sz w:val="21"/>
          <w:szCs w:val="21"/>
        </w:rPr>
      </w:pPr>
      <w:r>
        <w:rPr>
          <w:rFonts w:hint="eastAsia"/>
          <w:b/>
          <w:bCs/>
          <w:sz w:val="21"/>
          <w:szCs w:val="21"/>
        </w:rPr>
        <w:t>八、结算方式：</w:t>
      </w:r>
      <w:r>
        <w:rPr>
          <w:rFonts w:hint="eastAsia"/>
          <w:sz w:val="21"/>
          <w:szCs w:val="21"/>
        </w:rPr>
        <w:t>全部7项审计项目出具完整正式审计报告，并经采购人审定同意后，由中标中介机构开具合法合规增值税专用发票；公司收到合规发票后30日内，一次性支付全部包干审计服务费用。</w:t>
      </w:r>
    </w:p>
    <w:p w14:paraId="53CB48DD">
      <w:pPr>
        <w:spacing w:line="360" w:lineRule="auto"/>
        <w:rPr>
          <w:rFonts w:ascii="宋体" w:hAnsi="宋体" w:cs="宋体"/>
          <w:b/>
          <w:bCs/>
        </w:rPr>
      </w:pPr>
      <w:r>
        <w:rPr>
          <w:rFonts w:hint="eastAsia" w:ascii="宋体" w:hAnsi="宋体" w:cs="宋体"/>
          <w:b/>
          <w:bCs/>
        </w:rPr>
        <w:t>九、询比原则（综合评估法）：</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0"/>
        <w:gridCol w:w="1415"/>
        <w:gridCol w:w="1578"/>
        <w:gridCol w:w="175"/>
        <w:gridCol w:w="5476"/>
      </w:tblGrid>
      <w:tr w14:paraId="2E91F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820" w:type="dxa"/>
            <w:vAlign w:val="center"/>
          </w:tcPr>
          <w:p w14:paraId="63E5FDCA">
            <w:pPr>
              <w:spacing w:line="400" w:lineRule="exact"/>
              <w:jc w:val="center"/>
              <w:rPr>
                <w:rFonts w:ascii="宋体" w:hAnsi="宋体" w:cs="宋体"/>
                <w:b/>
                <w:kern w:val="0"/>
              </w:rPr>
            </w:pPr>
            <w:bookmarkStart w:id="47" w:name="CQZH1_07"/>
            <w:r>
              <w:rPr>
                <w:rFonts w:hint="eastAsia" w:ascii="宋体" w:hAnsi="宋体" w:cs="宋体"/>
                <w:b/>
                <w:kern w:val="0"/>
              </w:rPr>
              <w:t>条款号</w:t>
            </w:r>
          </w:p>
        </w:tc>
        <w:tc>
          <w:tcPr>
            <w:tcW w:w="1415" w:type="dxa"/>
            <w:vAlign w:val="center"/>
          </w:tcPr>
          <w:p w14:paraId="76A418F2">
            <w:pPr>
              <w:spacing w:line="400" w:lineRule="exact"/>
              <w:jc w:val="center"/>
              <w:rPr>
                <w:rFonts w:ascii="宋体" w:hAnsi="宋体" w:cs="宋体"/>
                <w:b/>
                <w:kern w:val="0"/>
              </w:rPr>
            </w:pPr>
            <w:r>
              <w:rPr>
                <w:rFonts w:hint="eastAsia" w:ascii="宋体" w:hAnsi="宋体" w:cs="宋体"/>
                <w:b/>
                <w:kern w:val="0"/>
              </w:rPr>
              <w:t>评审因素</w:t>
            </w:r>
          </w:p>
        </w:tc>
        <w:tc>
          <w:tcPr>
            <w:tcW w:w="7229" w:type="dxa"/>
            <w:gridSpan w:val="3"/>
            <w:vAlign w:val="center"/>
          </w:tcPr>
          <w:p w14:paraId="3403C7A4">
            <w:pPr>
              <w:spacing w:line="400" w:lineRule="exact"/>
              <w:jc w:val="center"/>
              <w:rPr>
                <w:rFonts w:ascii="宋体" w:hAnsi="宋体" w:cs="宋体"/>
                <w:b/>
                <w:kern w:val="0"/>
              </w:rPr>
            </w:pPr>
            <w:r>
              <w:rPr>
                <w:rFonts w:hint="eastAsia" w:ascii="宋体" w:hAnsi="宋体" w:cs="宋体"/>
                <w:b/>
                <w:kern w:val="0"/>
              </w:rPr>
              <w:t>评审标准</w:t>
            </w:r>
          </w:p>
        </w:tc>
      </w:tr>
      <w:tr w14:paraId="567E2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3" w:hRule="atLeast"/>
          <w:jc w:val="center"/>
        </w:trPr>
        <w:tc>
          <w:tcPr>
            <w:tcW w:w="820" w:type="dxa"/>
            <w:vAlign w:val="center"/>
          </w:tcPr>
          <w:p w14:paraId="60C671A9">
            <w:pPr>
              <w:spacing w:line="400" w:lineRule="exact"/>
              <w:jc w:val="center"/>
              <w:rPr>
                <w:rFonts w:ascii="宋体" w:hAnsi="宋体" w:cs="宋体"/>
                <w:kern w:val="0"/>
              </w:rPr>
            </w:pPr>
            <w:r>
              <w:rPr>
                <w:rFonts w:hint="eastAsia" w:ascii="宋体" w:hAnsi="宋体" w:cs="宋体"/>
                <w:kern w:val="0"/>
              </w:rPr>
              <w:t>1</w:t>
            </w:r>
          </w:p>
        </w:tc>
        <w:tc>
          <w:tcPr>
            <w:tcW w:w="1415" w:type="dxa"/>
            <w:vAlign w:val="center"/>
          </w:tcPr>
          <w:p w14:paraId="71E82CB0">
            <w:pPr>
              <w:spacing w:line="400" w:lineRule="exact"/>
              <w:jc w:val="center"/>
              <w:rPr>
                <w:rFonts w:ascii="宋体" w:hAnsi="宋体" w:cs="宋体"/>
                <w:kern w:val="0"/>
              </w:rPr>
            </w:pPr>
            <w:r>
              <w:rPr>
                <w:rFonts w:hint="eastAsia" w:ascii="宋体" w:hAnsi="宋体" w:cs="宋体"/>
                <w:kern w:val="0"/>
              </w:rPr>
              <w:t>评审办法</w:t>
            </w:r>
          </w:p>
        </w:tc>
        <w:tc>
          <w:tcPr>
            <w:tcW w:w="7229" w:type="dxa"/>
            <w:gridSpan w:val="3"/>
            <w:vAlign w:val="center"/>
          </w:tcPr>
          <w:p w14:paraId="49298F80">
            <w:pPr>
              <w:spacing w:line="360" w:lineRule="exact"/>
              <w:ind w:firstLine="420" w:firstLineChars="200"/>
              <w:jc w:val="left"/>
            </w:pPr>
            <w:r>
              <w:rPr>
                <w:rFonts w:hint="eastAsia"/>
              </w:rPr>
              <w:t>本项目评审采用综合评估法，评审委员会对通过初步评审（2.1.1、2.1.2、2.1.3）的询比申请人按照本章规定的评分标准进行打分，并按综合得分由高到低顺序进行推荐，如出现综合得分相等时，评审委员会按以下原则确定询比申请人：</w:t>
            </w:r>
          </w:p>
          <w:p w14:paraId="4E2E80A9">
            <w:pPr>
              <w:spacing w:line="360" w:lineRule="exact"/>
              <w:ind w:firstLine="420" w:firstLineChars="200"/>
              <w:jc w:val="left"/>
            </w:pPr>
            <w:r>
              <w:rPr>
                <w:rFonts w:hint="eastAsia"/>
              </w:rPr>
              <w:t>（1）如综合得分相同时，以报价得分高的优先；</w:t>
            </w:r>
          </w:p>
          <w:p w14:paraId="3E520183">
            <w:pPr>
              <w:spacing w:line="360" w:lineRule="exact"/>
              <w:ind w:firstLine="420" w:firstLineChars="200"/>
              <w:jc w:val="left"/>
            </w:pPr>
            <w:r>
              <w:rPr>
                <w:rFonts w:hint="eastAsia"/>
              </w:rPr>
              <w:t>（2）如报价得分也相同时，以商务部分得分高的优先；</w:t>
            </w:r>
          </w:p>
          <w:p w14:paraId="284620C1">
            <w:pPr>
              <w:spacing w:line="360" w:lineRule="auto"/>
              <w:ind w:firstLine="420" w:firstLineChars="200"/>
              <w:rPr>
                <w:rFonts w:ascii="宋体" w:hAnsi="宋体" w:cs="宋体"/>
                <w:kern w:val="0"/>
              </w:rPr>
            </w:pPr>
            <w:r>
              <w:rPr>
                <w:rFonts w:hint="eastAsia"/>
              </w:rPr>
              <w:t>（3）如商务部分得分也相同时，则由评审委员会投票决定。</w:t>
            </w:r>
          </w:p>
        </w:tc>
      </w:tr>
      <w:tr w14:paraId="4B6CD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3" w:hRule="atLeast"/>
          <w:jc w:val="center"/>
        </w:trPr>
        <w:tc>
          <w:tcPr>
            <w:tcW w:w="820" w:type="dxa"/>
            <w:vMerge w:val="restart"/>
            <w:vAlign w:val="center"/>
          </w:tcPr>
          <w:p w14:paraId="42729E47">
            <w:pPr>
              <w:spacing w:line="400" w:lineRule="exact"/>
              <w:jc w:val="center"/>
              <w:rPr>
                <w:rFonts w:ascii="宋体" w:hAnsi="宋体" w:cs="宋体"/>
                <w:kern w:val="0"/>
              </w:rPr>
            </w:pPr>
            <w:r>
              <w:rPr>
                <w:rFonts w:hint="eastAsia" w:ascii="宋体" w:hAnsi="宋体" w:cs="宋体"/>
                <w:kern w:val="0"/>
              </w:rPr>
              <w:t>2.1.1</w:t>
            </w:r>
          </w:p>
        </w:tc>
        <w:tc>
          <w:tcPr>
            <w:tcW w:w="1415" w:type="dxa"/>
            <w:vMerge w:val="restart"/>
            <w:textDirection w:val="tbRlV"/>
            <w:vAlign w:val="center"/>
          </w:tcPr>
          <w:p w14:paraId="34DF4685">
            <w:pPr>
              <w:spacing w:line="400" w:lineRule="exact"/>
              <w:ind w:left="113" w:right="113"/>
              <w:jc w:val="center"/>
              <w:rPr>
                <w:rFonts w:ascii="宋体" w:hAnsi="宋体" w:cs="宋体"/>
                <w:kern w:val="0"/>
              </w:rPr>
            </w:pPr>
            <w:r>
              <w:rPr>
                <w:rFonts w:hint="eastAsia" w:ascii="宋体" w:hAnsi="宋体" w:cs="宋体"/>
                <w:kern w:val="0"/>
              </w:rPr>
              <w:t>形式评审标准</w:t>
            </w:r>
          </w:p>
        </w:tc>
        <w:tc>
          <w:tcPr>
            <w:tcW w:w="1753" w:type="dxa"/>
            <w:gridSpan w:val="2"/>
            <w:vAlign w:val="center"/>
          </w:tcPr>
          <w:p w14:paraId="07C38EB6">
            <w:pPr>
              <w:spacing w:line="360" w:lineRule="auto"/>
              <w:jc w:val="center"/>
              <w:rPr>
                <w:rFonts w:ascii="宋体" w:hAnsi="宋体" w:cs="宋体"/>
                <w:kern w:val="0"/>
              </w:rPr>
            </w:pPr>
            <w:r>
              <w:rPr>
                <w:rFonts w:hint="eastAsia" w:ascii="宋体" w:hAnsi="宋体" w:cs="宋体"/>
                <w:kern w:val="0"/>
              </w:rPr>
              <w:t>询比申请人名称</w:t>
            </w:r>
          </w:p>
        </w:tc>
        <w:tc>
          <w:tcPr>
            <w:tcW w:w="5476" w:type="dxa"/>
            <w:vAlign w:val="center"/>
          </w:tcPr>
          <w:p w14:paraId="76EBEEDD">
            <w:pPr>
              <w:spacing w:line="360" w:lineRule="auto"/>
              <w:ind w:firstLine="420" w:firstLineChars="200"/>
              <w:jc w:val="left"/>
              <w:rPr>
                <w:rFonts w:ascii="宋体" w:hAnsi="宋体" w:cs="宋体"/>
                <w:kern w:val="0"/>
              </w:rPr>
            </w:pPr>
            <w:r>
              <w:rPr>
                <w:rFonts w:hint="eastAsia" w:ascii="宋体" w:hAnsi="宋体" w:cs="宋体"/>
                <w:kern w:val="0"/>
              </w:rPr>
              <w:t>与营业执照、资质一致，依法变更名称的应提交相应证明材料。</w:t>
            </w:r>
          </w:p>
        </w:tc>
      </w:tr>
      <w:tr w14:paraId="43989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atLeast"/>
          <w:jc w:val="center"/>
        </w:trPr>
        <w:tc>
          <w:tcPr>
            <w:tcW w:w="820" w:type="dxa"/>
            <w:vMerge w:val="continue"/>
          </w:tcPr>
          <w:p w14:paraId="3AD3F10C">
            <w:pPr>
              <w:spacing w:line="400" w:lineRule="exact"/>
              <w:rPr>
                <w:rFonts w:ascii="宋体" w:hAnsi="宋体" w:cs="宋体"/>
              </w:rPr>
            </w:pPr>
          </w:p>
        </w:tc>
        <w:tc>
          <w:tcPr>
            <w:tcW w:w="1415" w:type="dxa"/>
            <w:vMerge w:val="continue"/>
            <w:vAlign w:val="center"/>
          </w:tcPr>
          <w:p w14:paraId="416008D7">
            <w:pPr>
              <w:spacing w:line="400" w:lineRule="exact"/>
              <w:jc w:val="center"/>
              <w:rPr>
                <w:rFonts w:ascii="宋体" w:hAnsi="宋体" w:cs="宋体"/>
              </w:rPr>
            </w:pPr>
          </w:p>
        </w:tc>
        <w:tc>
          <w:tcPr>
            <w:tcW w:w="1753" w:type="dxa"/>
            <w:gridSpan w:val="2"/>
            <w:vAlign w:val="center"/>
          </w:tcPr>
          <w:p w14:paraId="06F02118">
            <w:pPr>
              <w:spacing w:line="360" w:lineRule="auto"/>
              <w:jc w:val="center"/>
              <w:rPr>
                <w:rFonts w:ascii="宋体" w:hAnsi="宋体" w:cs="宋体"/>
                <w:kern w:val="0"/>
              </w:rPr>
            </w:pPr>
            <w:r>
              <w:rPr>
                <w:rFonts w:hint="eastAsia" w:ascii="宋体" w:hAnsi="宋体" w:cs="宋体"/>
                <w:kern w:val="0"/>
              </w:rPr>
              <w:t>响应文件组成</w:t>
            </w:r>
          </w:p>
        </w:tc>
        <w:tc>
          <w:tcPr>
            <w:tcW w:w="5476" w:type="dxa"/>
            <w:vAlign w:val="center"/>
          </w:tcPr>
          <w:p w14:paraId="65C13499">
            <w:pPr>
              <w:spacing w:line="360" w:lineRule="auto"/>
              <w:ind w:firstLine="420" w:firstLineChars="200"/>
              <w:jc w:val="left"/>
              <w:rPr>
                <w:rFonts w:ascii="宋体" w:hAnsi="宋体" w:cs="宋体"/>
                <w:kern w:val="0"/>
              </w:rPr>
            </w:pPr>
            <w:r>
              <w:rPr>
                <w:rFonts w:hint="eastAsia" w:ascii="宋体" w:hAnsi="宋体" w:cs="宋体"/>
                <w:kern w:val="0"/>
              </w:rPr>
              <w:t>符合询比文件“第二部分 七、响应文件的组成”规定</w:t>
            </w:r>
          </w:p>
        </w:tc>
      </w:tr>
      <w:tr w14:paraId="608B5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atLeast"/>
          <w:jc w:val="center"/>
        </w:trPr>
        <w:tc>
          <w:tcPr>
            <w:tcW w:w="820" w:type="dxa"/>
            <w:vMerge w:val="continue"/>
          </w:tcPr>
          <w:p w14:paraId="5A5C1E8E">
            <w:pPr>
              <w:spacing w:line="400" w:lineRule="exact"/>
              <w:rPr>
                <w:rFonts w:ascii="宋体" w:hAnsi="宋体" w:cs="宋体"/>
              </w:rPr>
            </w:pPr>
          </w:p>
        </w:tc>
        <w:tc>
          <w:tcPr>
            <w:tcW w:w="1415" w:type="dxa"/>
            <w:vMerge w:val="continue"/>
            <w:vAlign w:val="center"/>
          </w:tcPr>
          <w:p w14:paraId="10D78E3E">
            <w:pPr>
              <w:spacing w:line="400" w:lineRule="exact"/>
              <w:jc w:val="center"/>
              <w:rPr>
                <w:rFonts w:ascii="宋体" w:hAnsi="宋体" w:cs="宋体"/>
              </w:rPr>
            </w:pPr>
          </w:p>
        </w:tc>
        <w:tc>
          <w:tcPr>
            <w:tcW w:w="1753" w:type="dxa"/>
            <w:gridSpan w:val="2"/>
            <w:vAlign w:val="center"/>
          </w:tcPr>
          <w:p w14:paraId="16190C20">
            <w:pPr>
              <w:spacing w:line="360" w:lineRule="auto"/>
              <w:jc w:val="center"/>
              <w:rPr>
                <w:rFonts w:ascii="宋体" w:hAnsi="宋体" w:cs="宋体"/>
              </w:rPr>
            </w:pPr>
            <w:r>
              <w:rPr>
                <w:rFonts w:hint="eastAsia" w:ascii="宋体" w:hAnsi="宋体" w:cs="宋体"/>
                <w:kern w:val="0"/>
              </w:rPr>
              <w:t>报价唯一</w:t>
            </w:r>
          </w:p>
        </w:tc>
        <w:tc>
          <w:tcPr>
            <w:tcW w:w="5476" w:type="dxa"/>
            <w:vAlign w:val="center"/>
          </w:tcPr>
          <w:p w14:paraId="06CCDBD4">
            <w:pPr>
              <w:spacing w:line="360" w:lineRule="auto"/>
              <w:ind w:firstLine="420" w:firstLineChars="200"/>
              <w:jc w:val="left"/>
              <w:rPr>
                <w:rFonts w:ascii="宋体" w:hAnsi="宋体" w:cs="宋体"/>
                <w:kern w:val="0"/>
              </w:rPr>
            </w:pPr>
            <w:r>
              <w:rPr>
                <w:rFonts w:hint="eastAsia" w:ascii="宋体" w:hAnsi="宋体" w:cs="宋体"/>
                <w:kern w:val="0"/>
              </w:rPr>
              <w:t>只能有一个有效报价。在询比文件没有规定的情况下，不得提交选择性报价。</w:t>
            </w:r>
          </w:p>
        </w:tc>
      </w:tr>
      <w:tr w14:paraId="1FC84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atLeast"/>
          <w:jc w:val="center"/>
        </w:trPr>
        <w:tc>
          <w:tcPr>
            <w:tcW w:w="820" w:type="dxa"/>
            <w:vMerge w:val="continue"/>
          </w:tcPr>
          <w:p w14:paraId="4B27EA54">
            <w:pPr>
              <w:spacing w:line="400" w:lineRule="exact"/>
              <w:rPr>
                <w:rFonts w:ascii="宋体" w:hAnsi="宋体" w:cs="宋体"/>
              </w:rPr>
            </w:pPr>
          </w:p>
        </w:tc>
        <w:tc>
          <w:tcPr>
            <w:tcW w:w="1415" w:type="dxa"/>
            <w:vMerge w:val="continue"/>
            <w:vAlign w:val="center"/>
          </w:tcPr>
          <w:p w14:paraId="5F21F47D">
            <w:pPr>
              <w:spacing w:line="400" w:lineRule="exact"/>
              <w:jc w:val="center"/>
              <w:rPr>
                <w:rFonts w:ascii="宋体" w:hAnsi="宋体" w:cs="宋体"/>
              </w:rPr>
            </w:pPr>
          </w:p>
        </w:tc>
        <w:tc>
          <w:tcPr>
            <w:tcW w:w="1753" w:type="dxa"/>
            <w:gridSpan w:val="2"/>
            <w:vAlign w:val="center"/>
          </w:tcPr>
          <w:p w14:paraId="0C38CEC7">
            <w:pPr>
              <w:spacing w:line="360" w:lineRule="auto"/>
              <w:jc w:val="center"/>
              <w:rPr>
                <w:rFonts w:ascii="宋体" w:hAnsi="宋体" w:cs="宋体"/>
                <w:kern w:val="0"/>
              </w:rPr>
            </w:pPr>
            <w:r>
              <w:rPr>
                <w:rFonts w:hint="eastAsia" w:ascii="宋体" w:hAnsi="宋体" w:cs="宋体"/>
              </w:rPr>
              <w:t>响应文件的签字盖章</w:t>
            </w:r>
          </w:p>
        </w:tc>
        <w:tc>
          <w:tcPr>
            <w:tcW w:w="5476" w:type="dxa"/>
            <w:vAlign w:val="center"/>
          </w:tcPr>
          <w:p w14:paraId="7367459C">
            <w:pPr>
              <w:spacing w:line="360" w:lineRule="auto"/>
              <w:ind w:firstLine="420" w:firstLineChars="200"/>
              <w:jc w:val="left"/>
              <w:rPr>
                <w:rFonts w:ascii="宋体" w:hAnsi="宋体" w:cs="宋体"/>
                <w:kern w:val="0"/>
              </w:rPr>
            </w:pPr>
            <w:r>
              <w:rPr>
                <w:rFonts w:hint="eastAsia" w:ascii="宋体" w:hAnsi="宋体" w:cs="宋体"/>
                <w:kern w:val="0"/>
              </w:rPr>
              <w:t>响应文件要求加盖询比申请人公章、法定代表人或其委托代理人签字（或盖章）的须齐全。</w:t>
            </w:r>
          </w:p>
        </w:tc>
      </w:tr>
      <w:tr w14:paraId="5D66A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6" w:hRule="atLeast"/>
          <w:jc w:val="center"/>
        </w:trPr>
        <w:tc>
          <w:tcPr>
            <w:tcW w:w="820" w:type="dxa"/>
            <w:vMerge w:val="restart"/>
            <w:vAlign w:val="center"/>
          </w:tcPr>
          <w:p w14:paraId="1E5F373B">
            <w:pPr>
              <w:spacing w:line="400" w:lineRule="exact"/>
              <w:jc w:val="center"/>
              <w:rPr>
                <w:rFonts w:ascii="宋体" w:hAnsi="宋体" w:cs="宋体"/>
                <w:kern w:val="0"/>
              </w:rPr>
            </w:pPr>
            <w:r>
              <w:rPr>
                <w:rFonts w:hint="eastAsia" w:ascii="宋体" w:hAnsi="宋体" w:cs="宋体"/>
                <w:kern w:val="0"/>
              </w:rPr>
              <w:t>2.1.2</w:t>
            </w:r>
          </w:p>
        </w:tc>
        <w:tc>
          <w:tcPr>
            <w:tcW w:w="1415" w:type="dxa"/>
            <w:vMerge w:val="restart"/>
            <w:textDirection w:val="tbRlV"/>
            <w:vAlign w:val="center"/>
          </w:tcPr>
          <w:p w14:paraId="33513709">
            <w:pPr>
              <w:spacing w:line="400" w:lineRule="exact"/>
              <w:ind w:left="113" w:right="113"/>
              <w:jc w:val="center"/>
              <w:rPr>
                <w:rFonts w:ascii="宋体" w:hAnsi="宋体" w:cs="宋体"/>
                <w:kern w:val="0"/>
              </w:rPr>
            </w:pPr>
            <w:r>
              <w:rPr>
                <w:rFonts w:hint="eastAsia" w:ascii="宋体" w:hAnsi="宋体" w:cs="宋体"/>
                <w:kern w:val="0"/>
              </w:rPr>
              <w:t>资格评审标准</w:t>
            </w:r>
          </w:p>
        </w:tc>
        <w:tc>
          <w:tcPr>
            <w:tcW w:w="1753" w:type="dxa"/>
            <w:gridSpan w:val="2"/>
            <w:vAlign w:val="center"/>
          </w:tcPr>
          <w:p w14:paraId="5ED4A2C5">
            <w:pPr>
              <w:spacing w:line="360" w:lineRule="auto"/>
              <w:jc w:val="center"/>
              <w:rPr>
                <w:rFonts w:ascii="宋体" w:hAnsi="宋体" w:cs="宋体"/>
                <w:kern w:val="0"/>
              </w:rPr>
            </w:pPr>
            <w:r>
              <w:rPr>
                <w:rFonts w:hint="eastAsia" w:ascii="宋体" w:hAnsi="宋体" w:cs="宋体"/>
              </w:rPr>
              <w:t>营业执照</w:t>
            </w:r>
          </w:p>
        </w:tc>
        <w:tc>
          <w:tcPr>
            <w:tcW w:w="5476" w:type="dxa"/>
            <w:vAlign w:val="center"/>
          </w:tcPr>
          <w:p w14:paraId="06ACA117">
            <w:pPr>
              <w:spacing w:line="360" w:lineRule="auto"/>
              <w:ind w:firstLine="420" w:firstLineChars="200"/>
              <w:jc w:val="left"/>
              <w:rPr>
                <w:rFonts w:ascii="宋体" w:hAnsi="宋体" w:cs="宋体"/>
                <w:kern w:val="0"/>
              </w:rPr>
            </w:pPr>
            <w:r>
              <w:rPr>
                <w:rFonts w:hint="eastAsia" w:ascii="宋体" w:hAnsi="宋体" w:cs="宋体"/>
                <w:kern w:val="0"/>
              </w:rPr>
              <w:t>符合询比文件“第二部分 三、询比申请人资格要求”规定</w:t>
            </w:r>
          </w:p>
        </w:tc>
      </w:tr>
      <w:tr w14:paraId="6FD75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6" w:hRule="atLeast"/>
          <w:jc w:val="center"/>
        </w:trPr>
        <w:tc>
          <w:tcPr>
            <w:tcW w:w="820" w:type="dxa"/>
            <w:vMerge w:val="continue"/>
            <w:vAlign w:val="center"/>
          </w:tcPr>
          <w:p w14:paraId="2792096E">
            <w:pPr>
              <w:spacing w:line="400" w:lineRule="exact"/>
              <w:jc w:val="center"/>
              <w:rPr>
                <w:rFonts w:ascii="宋体" w:hAnsi="宋体" w:cs="宋体"/>
                <w:kern w:val="0"/>
              </w:rPr>
            </w:pPr>
          </w:p>
        </w:tc>
        <w:tc>
          <w:tcPr>
            <w:tcW w:w="1415" w:type="dxa"/>
            <w:vMerge w:val="continue"/>
            <w:vAlign w:val="center"/>
          </w:tcPr>
          <w:p w14:paraId="70DD35CE">
            <w:pPr>
              <w:spacing w:line="400" w:lineRule="exact"/>
              <w:jc w:val="center"/>
              <w:rPr>
                <w:rFonts w:ascii="宋体" w:hAnsi="宋体" w:cs="宋体"/>
                <w:kern w:val="0"/>
              </w:rPr>
            </w:pPr>
          </w:p>
        </w:tc>
        <w:tc>
          <w:tcPr>
            <w:tcW w:w="1753" w:type="dxa"/>
            <w:gridSpan w:val="2"/>
            <w:vAlign w:val="center"/>
          </w:tcPr>
          <w:p w14:paraId="2FAF6B87">
            <w:pPr>
              <w:spacing w:line="360" w:lineRule="auto"/>
              <w:jc w:val="center"/>
              <w:rPr>
                <w:rFonts w:ascii="宋体" w:hAnsi="宋体" w:cs="宋体"/>
              </w:rPr>
            </w:pPr>
            <w:r>
              <w:rPr>
                <w:rFonts w:hint="eastAsia" w:ascii="宋体" w:hAnsi="宋体" w:cs="宋体"/>
              </w:rPr>
              <w:t>会计师事务所行执业证书</w:t>
            </w:r>
          </w:p>
        </w:tc>
        <w:tc>
          <w:tcPr>
            <w:tcW w:w="5476" w:type="dxa"/>
            <w:vAlign w:val="center"/>
          </w:tcPr>
          <w:p w14:paraId="40EAA96A">
            <w:pPr>
              <w:spacing w:line="360" w:lineRule="auto"/>
              <w:ind w:firstLine="420" w:firstLineChars="200"/>
              <w:jc w:val="left"/>
              <w:rPr>
                <w:rFonts w:ascii="宋体" w:hAnsi="宋体" w:cs="宋体"/>
                <w:kern w:val="0"/>
              </w:rPr>
            </w:pPr>
            <w:r>
              <w:rPr>
                <w:rFonts w:hint="eastAsia" w:ascii="宋体" w:hAnsi="宋体" w:cs="宋体"/>
                <w:kern w:val="0"/>
              </w:rPr>
              <w:t>符合询比文件“第二部分 三、询比申请人资格要求”规定</w:t>
            </w:r>
          </w:p>
        </w:tc>
      </w:tr>
      <w:tr w14:paraId="568BA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6" w:hRule="atLeast"/>
          <w:jc w:val="center"/>
        </w:trPr>
        <w:tc>
          <w:tcPr>
            <w:tcW w:w="820" w:type="dxa"/>
            <w:vMerge w:val="continue"/>
            <w:vAlign w:val="center"/>
          </w:tcPr>
          <w:p w14:paraId="364EBC8C">
            <w:pPr>
              <w:spacing w:line="400" w:lineRule="exact"/>
              <w:jc w:val="center"/>
              <w:rPr>
                <w:rFonts w:ascii="宋体" w:hAnsi="宋体" w:cs="宋体"/>
                <w:kern w:val="0"/>
              </w:rPr>
            </w:pPr>
          </w:p>
        </w:tc>
        <w:tc>
          <w:tcPr>
            <w:tcW w:w="1415" w:type="dxa"/>
            <w:vMerge w:val="continue"/>
            <w:vAlign w:val="center"/>
          </w:tcPr>
          <w:p w14:paraId="08945B78">
            <w:pPr>
              <w:spacing w:line="400" w:lineRule="exact"/>
              <w:jc w:val="center"/>
              <w:rPr>
                <w:rFonts w:ascii="宋体" w:hAnsi="宋体" w:cs="宋体"/>
                <w:kern w:val="0"/>
              </w:rPr>
            </w:pPr>
          </w:p>
        </w:tc>
        <w:tc>
          <w:tcPr>
            <w:tcW w:w="1753" w:type="dxa"/>
            <w:gridSpan w:val="2"/>
            <w:vAlign w:val="center"/>
          </w:tcPr>
          <w:p w14:paraId="4CDED8A8">
            <w:pPr>
              <w:spacing w:line="360" w:lineRule="auto"/>
              <w:jc w:val="center"/>
              <w:rPr>
                <w:rFonts w:ascii="宋体" w:hAnsi="宋体" w:cs="宋体"/>
                <w:kern w:val="0"/>
              </w:rPr>
            </w:pPr>
            <w:r>
              <w:rPr>
                <w:rFonts w:hint="eastAsia" w:ascii="宋体" w:hAnsi="宋体" w:cs="宋体"/>
              </w:rPr>
              <w:t>信誉要求</w:t>
            </w:r>
          </w:p>
        </w:tc>
        <w:tc>
          <w:tcPr>
            <w:tcW w:w="5476" w:type="dxa"/>
            <w:vAlign w:val="center"/>
          </w:tcPr>
          <w:p w14:paraId="1CD7469F">
            <w:pPr>
              <w:spacing w:line="360" w:lineRule="auto"/>
              <w:ind w:firstLine="420" w:firstLineChars="200"/>
              <w:jc w:val="left"/>
              <w:rPr>
                <w:rFonts w:ascii="宋体" w:hAnsi="宋体" w:cs="宋体"/>
                <w:kern w:val="0"/>
              </w:rPr>
            </w:pPr>
            <w:r>
              <w:rPr>
                <w:rFonts w:hint="eastAsia" w:ascii="宋体" w:hAnsi="宋体" w:cs="宋体"/>
                <w:kern w:val="0"/>
              </w:rPr>
              <w:t>符合询比文件“第二部分 三、询比申请人资格要求”规定</w:t>
            </w:r>
          </w:p>
        </w:tc>
      </w:tr>
      <w:tr w14:paraId="1B83F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6" w:hRule="atLeast"/>
          <w:jc w:val="center"/>
        </w:trPr>
        <w:tc>
          <w:tcPr>
            <w:tcW w:w="820" w:type="dxa"/>
            <w:vMerge w:val="continue"/>
            <w:vAlign w:val="center"/>
          </w:tcPr>
          <w:p w14:paraId="1F546424">
            <w:pPr>
              <w:spacing w:line="400" w:lineRule="exact"/>
              <w:jc w:val="center"/>
              <w:rPr>
                <w:rFonts w:ascii="宋体" w:hAnsi="宋体" w:cs="宋体"/>
                <w:kern w:val="0"/>
              </w:rPr>
            </w:pPr>
          </w:p>
        </w:tc>
        <w:tc>
          <w:tcPr>
            <w:tcW w:w="1415" w:type="dxa"/>
            <w:vMerge w:val="continue"/>
            <w:vAlign w:val="center"/>
          </w:tcPr>
          <w:p w14:paraId="35956BCE">
            <w:pPr>
              <w:spacing w:line="400" w:lineRule="exact"/>
              <w:jc w:val="center"/>
              <w:rPr>
                <w:rFonts w:ascii="宋体" w:hAnsi="宋体" w:cs="宋体"/>
                <w:kern w:val="0"/>
              </w:rPr>
            </w:pPr>
          </w:p>
        </w:tc>
        <w:tc>
          <w:tcPr>
            <w:tcW w:w="1753" w:type="dxa"/>
            <w:gridSpan w:val="2"/>
            <w:vAlign w:val="center"/>
          </w:tcPr>
          <w:p w14:paraId="3E2E32ED">
            <w:pPr>
              <w:spacing w:line="360" w:lineRule="auto"/>
              <w:jc w:val="center"/>
              <w:rPr>
                <w:rFonts w:ascii="宋体" w:hAnsi="宋体" w:cs="宋体"/>
              </w:rPr>
            </w:pPr>
            <w:r>
              <w:rPr>
                <w:rFonts w:hint="eastAsia" w:ascii="宋体" w:hAnsi="宋体" w:cs="宋体"/>
              </w:rPr>
              <w:t>业绩要求</w:t>
            </w:r>
          </w:p>
        </w:tc>
        <w:tc>
          <w:tcPr>
            <w:tcW w:w="5476" w:type="dxa"/>
            <w:vAlign w:val="center"/>
          </w:tcPr>
          <w:p w14:paraId="383C2867">
            <w:pPr>
              <w:spacing w:line="360" w:lineRule="auto"/>
              <w:ind w:firstLine="420" w:firstLineChars="200"/>
              <w:jc w:val="left"/>
              <w:rPr>
                <w:rFonts w:ascii="宋体" w:hAnsi="宋体" w:cs="宋体"/>
                <w:kern w:val="0"/>
              </w:rPr>
            </w:pPr>
            <w:r>
              <w:rPr>
                <w:rFonts w:hint="eastAsia" w:ascii="宋体" w:hAnsi="宋体" w:cs="宋体"/>
                <w:kern w:val="0"/>
              </w:rPr>
              <w:t>符合询比文件“第二部分 三、询比申请人资格要求”规定</w:t>
            </w:r>
          </w:p>
        </w:tc>
      </w:tr>
      <w:tr w14:paraId="2BF31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6" w:hRule="atLeast"/>
          <w:jc w:val="center"/>
        </w:trPr>
        <w:tc>
          <w:tcPr>
            <w:tcW w:w="820" w:type="dxa"/>
            <w:vMerge w:val="continue"/>
            <w:vAlign w:val="center"/>
          </w:tcPr>
          <w:p w14:paraId="26467307">
            <w:pPr>
              <w:spacing w:line="400" w:lineRule="exact"/>
              <w:jc w:val="center"/>
              <w:rPr>
                <w:rFonts w:ascii="宋体" w:hAnsi="宋体" w:cs="宋体"/>
                <w:kern w:val="0"/>
              </w:rPr>
            </w:pPr>
          </w:p>
        </w:tc>
        <w:tc>
          <w:tcPr>
            <w:tcW w:w="1415" w:type="dxa"/>
            <w:vMerge w:val="continue"/>
            <w:vAlign w:val="center"/>
          </w:tcPr>
          <w:p w14:paraId="5BCBC9D9">
            <w:pPr>
              <w:spacing w:line="400" w:lineRule="exact"/>
              <w:jc w:val="center"/>
              <w:rPr>
                <w:rFonts w:ascii="宋体" w:hAnsi="宋体" w:cs="宋体"/>
                <w:kern w:val="0"/>
              </w:rPr>
            </w:pPr>
          </w:p>
        </w:tc>
        <w:tc>
          <w:tcPr>
            <w:tcW w:w="1753" w:type="dxa"/>
            <w:gridSpan w:val="2"/>
            <w:vAlign w:val="center"/>
          </w:tcPr>
          <w:p w14:paraId="70363B5C">
            <w:pPr>
              <w:spacing w:line="360" w:lineRule="auto"/>
              <w:jc w:val="center"/>
              <w:rPr>
                <w:rFonts w:ascii="宋体" w:hAnsi="宋体" w:cs="宋体"/>
              </w:rPr>
            </w:pPr>
            <w:r>
              <w:rPr>
                <w:rFonts w:hint="eastAsia" w:ascii="宋体" w:hAnsi="宋体" w:cs="宋体"/>
              </w:rPr>
              <w:t>人员要求</w:t>
            </w:r>
          </w:p>
        </w:tc>
        <w:tc>
          <w:tcPr>
            <w:tcW w:w="5476" w:type="dxa"/>
            <w:vAlign w:val="center"/>
          </w:tcPr>
          <w:p w14:paraId="23C8879F">
            <w:pPr>
              <w:spacing w:line="360" w:lineRule="auto"/>
              <w:ind w:firstLine="420" w:firstLineChars="200"/>
              <w:jc w:val="left"/>
              <w:rPr>
                <w:rFonts w:ascii="宋体" w:hAnsi="宋体" w:cs="宋体"/>
                <w:kern w:val="0"/>
              </w:rPr>
            </w:pPr>
            <w:r>
              <w:rPr>
                <w:rFonts w:hint="eastAsia" w:ascii="宋体" w:hAnsi="宋体" w:cs="宋体"/>
                <w:kern w:val="0"/>
              </w:rPr>
              <w:t>符合询比文件“第二部分 三、询比申请人资格要求”规定</w:t>
            </w:r>
          </w:p>
        </w:tc>
      </w:tr>
      <w:tr w14:paraId="7B9E1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6" w:hRule="atLeast"/>
          <w:jc w:val="center"/>
        </w:trPr>
        <w:tc>
          <w:tcPr>
            <w:tcW w:w="820" w:type="dxa"/>
            <w:vMerge w:val="continue"/>
            <w:vAlign w:val="center"/>
          </w:tcPr>
          <w:p w14:paraId="5782DCCA">
            <w:pPr>
              <w:spacing w:line="400" w:lineRule="exact"/>
              <w:jc w:val="center"/>
              <w:rPr>
                <w:rFonts w:ascii="宋体" w:hAnsi="宋体" w:cs="宋体"/>
                <w:kern w:val="0"/>
              </w:rPr>
            </w:pPr>
          </w:p>
        </w:tc>
        <w:tc>
          <w:tcPr>
            <w:tcW w:w="1415" w:type="dxa"/>
            <w:vMerge w:val="continue"/>
            <w:vAlign w:val="center"/>
          </w:tcPr>
          <w:p w14:paraId="44F834F6">
            <w:pPr>
              <w:spacing w:line="400" w:lineRule="exact"/>
              <w:jc w:val="center"/>
              <w:rPr>
                <w:rFonts w:ascii="宋体" w:hAnsi="宋体" w:cs="宋体"/>
                <w:kern w:val="0"/>
              </w:rPr>
            </w:pPr>
          </w:p>
        </w:tc>
        <w:tc>
          <w:tcPr>
            <w:tcW w:w="1753" w:type="dxa"/>
            <w:gridSpan w:val="2"/>
            <w:vAlign w:val="center"/>
          </w:tcPr>
          <w:p w14:paraId="3301B102">
            <w:pPr>
              <w:spacing w:line="360" w:lineRule="auto"/>
              <w:jc w:val="center"/>
              <w:rPr>
                <w:rFonts w:ascii="宋体" w:hAnsi="宋体" w:cs="宋体"/>
              </w:rPr>
            </w:pPr>
            <w:r>
              <w:rPr>
                <w:rFonts w:hint="eastAsia" w:ascii="宋体" w:hAnsi="宋体" w:cs="宋体"/>
                <w:kern w:val="0"/>
              </w:rPr>
              <w:t xml:space="preserve">联合体要求  </w:t>
            </w:r>
          </w:p>
        </w:tc>
        <w:tc>
          <w:tcPr>
            <w:tcW w:w="5476" w:type="dxa"/>
            <w:vAlign w:val="center"/>
          </w:tcPr>
          <w:p w14:paraId="263AD734">
            <w:pPr>
              <w:spacing w:line="360" w:lineRule="auto"/>
              <w:ind w:firstLine="420" w:firstLineChars="200"/>
              <w:jc w:val="left"/>
              <w:rPr>
                <w:rFonts w:ascii="宋体" w:hAnsi="宋体" w:cs="宋体"/>
                <w:kern w:val="0"/>
              </w:rPr>
            </w:pPr>
            <w:r>
              <w:rPr>
                <w:rFonts w:hint="eastAsia" w:ascii="宋体" w:hAnsi="宋体" w:cs="宋体"/>
                <w:kern w:val="0"/>
              </w:rPr>
              <w:t>符合询比文件“第二部分 三、询比申请人资格要求”规定</w:t>
            </w:r>
          </w:p>
        </w:tc>
      </w:tr>
      <w:tr w14:paraId="119CC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0" w:type="dxa"/>
            <w:vMerge w:val="restart"/>
            <w:vAlign w:val="center"/>
          </w:tcPr>
          <w:p w14:paraId="3A839864">
            <w:pPr>
              <w:spacing w:line="400" w:lineRule="exact"/>
              <w:jc w:val="center"/>
              <w:rPr>
                <w:rFonts w:ascii="宋体" w:hAnsi="宋体" w:cs="宋体"/>
              </w:rPr>
            </w:pPr>
            <w:r>
              <w:rPr>
                <w:rFonts w:hint="eastAsia" w:ascii="宋体" w:hAnsi="宋体" w:cs="宋体"/>
                <w:kern w:val="0"/>
              </w:rPr>
              <w:t>2.1.3</w:t>
            </w:r>
          </w:p>
        </w:tc>
        <w:tc>
          <w:tcPr>
            <w:tcW w:w="1415" w:type="dxa"/>
            <w:vMerge w:val="restart"/>
            <w:textDirection w:val="tbRlV"/>
            <w:vAlign w:val="center"/>
          </w:tcPr>
          <w:p w14:paraId="47DF096E">
            <w:pPr>
              <w:spacing w:line="400" w:lineRule="exact"/>
              <w:ind w:left="113" w:right="113"/>
              <w:jc w:val="center"/>
              <w:rPr>
                <w:rFonts w:ascii="宋体" w:hAnsi="宋体" w:cs="宋体"/>
              </w:rPr>
            </w:pPr>
            <w:r>
              <w:rPr>
                <w:rFonts w:hint="eastAsia" w:ascii="宋体" w:hAnsi="宋体" w:cs="宋体"/>
                <w:kern w:val="0"/>
              </w:rPr>
              <w:t>响应性评审标准</w:t>
            </w:r>
          </w:p>
        </w:tc>
        <w:tc>
          <w:tcPr>
            <w:tcW w:w="1753" w:type="dxa"/>
            <w:gridSpan w:val="2"/>
            <w:vAlign w:val="center"/>
          </w:tcPr>
          <w:p w14:paraId="1052B244">
            <w:pPr>
              <w:spacing w:line="360" w:lineRule="auto"/>
              <w:jc w:val="center"/>
              <w:rPr>
                <w:rFonts w:ascii="宋体" w:hAnsi="宋体" w:cs="宋体"/>
                <w:kern w:val="0"/>
              </w:rPr>
            </w:pPr>
            <w:r>
              <w:rPr>
                <w:rFonts w:hint="eastAsia" w:ascii="宋体" w:hAnsi="宋体" w:cs="宋体"/>
                <w:kern w:val="0"/>
              </w:rPr>
              <w:t>询比内容</w:t>
            </w:r>
          </w:p>
        </w:tc>
        <w:tc>
          <w:tcPr>
            <w:tcW w:w="5476" w:type="dxa"/>
            <w:vAlign w:val="center"/>
          </w:tcPr>
          <w:p w14:paraId="2170F147">
            <w:pPr>
              <w:spacing w:after="62" w:afterLines="20" w:line="360" w:lineRule="auto"/>
              <w:ind w:firstLine="420" w:firstLineChars="200"/>
              <w:rPr>
                <w:rFonts w:ascii="宋体" w:hAnsi="宋体" w:cs="宋体"/>
                <w:kern w:val="0"/>
              </w:rPr>
            </w:pPr>
            <w:r>
              <w:rPr>
                <w:rFonts w:hint="eastAsia" w:ascii="宋体" w:hAnsi="宋体" w:cs="宋体"/>
                <w:kern w:val="0"/>
              </w:rPr>
              <w:t>符合第二部分询比须知“2.1</w:t>
            </w:r>
            <w:r>
              <w:rPr>
                <w:rFonts w:hint="eastAsia" w:ascii="宋体" w:hAnsi="宋体" w:cs="宋体"/>
              </w:rPr>
              <w:t>项目范围及内容</w:t>
            </w:r>
            <w:r>
              <w:rPr>
                <w:rFonts w:hint="eastAsia" w:ascii="宋体" w:hAnsi="宋体" w:cs="宋体"/>
                <w:kern w:val="0"/>
              </w:rPr>
              <w:t>”之规定。</w:t>
            </w:r>
          </w:p>
        </w:tc>
      </w:tr>
      <w:tr w14:paraId="59834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0" w:type="dxa"/>
            <w:vMerge w:val="continue"/>
            <w:vAlign w:val="center"/>
          </w:tcPr>
          <w:p w14:paraId="2BA09C3A">
            <w:pPr>
              <w:spacing w:line="400" w:lineRule="exact"/>
              <w:jc w:val="center"/>
              <w:rPr>
                <w:rFonts w:ascii="宋体" w:hAnsi="宋体" w:cs="宋体"/>
                <w:kern w:val="0"/>
              </w:rPr>
            </w:pPr>
          </w:p>
        </w:tc>
        <w:tc>
          <w:tcPr>
            <w:tcW w:w="1415" w:type="dxa"/>
            <w:vMerge w:val="continue"/>
            <w:textDirection w:val="tbRlV"/>
            <w:vAlign w:val="center"/>
          </w:tcPr>
          <w:p w14:paraId="7F20A092">
            <w:pPr>
              <w:spacing w:line="400" w:lineRule="exact"/>
              <w:ind w:left="113" w:right="113"/>
              <w:jc w:val="center"/>
              <w:rPr>
                <w:rFonts w:ascii="宋体" w:hAnsi="宋体" w:cs="宋体"/>
                <w:kern w:val="0"/>
              </w:rPr>
            </w:pPr>
          </w:p>
        </w:tc>
        <w:tc>
          <w:tcPr>
            <w:tcW w:w="1753" w:type="dxa"/>
            <w:gridSpan w:val="2"/>
            <w:vAlign w:val="center"/>
          </w:tcPr>
          <w:p w14:paraId="28A359B7">
            <w:pPr>
              <w:spacing w:line="360" w:lineRule="auto"/>
              <w:jc w:val="center"/>
              <w:rPr>
                <w:rFonts w:ascii="宋体" w:hAnsi="宋体" w:cs="宋体"/>
                <w:kern w:val="0"/>
              </w:rPr>
            </w:pPr>
            <w:r>
              <w:rPr>
                <w:rFonts w:hint="eastAsia" w:ascii="宋体" w:hAnsi="宋体" w:cs="宋体"/>
              </w:rPr>
              <w:t>服务期</w:t>
            </w:r>
          </w:p>
        </w:tc>
        <w:tc>
          <w:tcPr>
            <w:tcW w:w="5476" w:type="dxa"/>
            <w:vAlign w:val="center"/>
          </w:tcPr>
          <w:p w14:paraId="08595F88">
            <w:pPr>
              <w:spacing w:after="62" w:afterLines="20" w:line="360" w:lineRule="auto"/>
              <w:ind w:firstLine="420" w:firstLineChars="200"/>
              <w:rPr>
                <w:rFonts w:ascii="宋体" w:hAnsi="宋体" w:cs="宋体"/>
                <w:kern w:val="0"/>
              </w:rPr>
            </w:pPr>
            <w:r>
              <w:rPr>
                <w:rFonts w:hint="eastAsia" w:ascii="宋体" w:hAnsi="宋体" w:cs="宋体"/>
                <w:kern w:val="0"/>
              </w:rPr>
              <w:t>符合第二部分询比须知“2.3服务期”之规定。</w:t>
            </w:r>
          </w:p>
        </w:tc>
      </w:tr>
      <w:tr w14:paraId="1A280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0" w:type="dxa"/>
            <w:vMerge w:val="continue"/>
            <w:vAlign w:val="center"/>
          </w:tcPr>
          <w:p w14:paraId="4B56A9DE">
            <w:pPr>
              <w:spacing w:line="400" w:lineRule="exact"/>
              <w:jc w:val="center"/>
              <w:rPr>
                <w:rFonts w:ascii="宋体" w:hAnsi="宋体" w:cs="宋体"/>
                <w:kern w:val="0"/>
              </w:rPr>
            </w:pPr>
          </w:p>
        </w:tc>
        <w:tc>
          <w:tcPr>
            <w:tcW w:w="1415" w:type="dxa"/>
            <w:vMerge w:val="continue"/>
            <w:textDirection w:val="tbRlV"/>
            <w:vAlign w:val="center"/>
          </w:tcPr>
          <w:p w14:paraId="518B30DB">
            <w:pPr>
              <w:spacing w:line="400" w:lineRule="exact"/>
              <w:ind w:left="113" w:right="113"/>
              <w:jc w:val="center"/>
              <w:rPr>
                <w:rFonts w:ascii="宋体" w:hAnsi="宋体" w:cs="宋体"/>
                <w:kern w:val="0"/>
              </w:rPr>
            </w:pPr>
          </w:p>
        </w:tc>
        <w:tc>
          <w:tcPr>
            <w:tcW w:w="1753" w:type="dxa"/>
            <w:gridSpan w:val="2"/>
            <w:vAlign w:val="center"/>
          </w:tcPr>
          <w:p w14:paraId="67C76CE4">
            <w:pPr>
              <w:spacing w:line="360" w:lineRule="auto"/>
              <w:jc w:val="center"/>
              <w:rPr>
                <w:rFonts w:ascii="宋体" w:hAnsi="宋体" w:cs="宋体"/>
                <w:kern w:val="0"/>
              </w:rPr>
            </w:pPr>
            <w:r>
              <w:rPr>
                <w:rFonts w:hint="eastAsia" w:ascii="宋体" w:hAnsi="宋体" w:cs="宋体"/>
                <w:kern w:val="0"/>
              </w:rPr>
              <w:t>询比有效期</w:t>
            </w:r>
          </w:p>
        </w:tc>
        <w:tc>
          <w:tcPr>
            <w:tcW w:w="5476" w:type="dxa"/>
            <w:vAlign w:val="center"/>
          </w:tcPr>
          <w:p w14:paraId="11E3DAB6">
            <w:pPr>
              <w:spacing w:after="62" w:afterLines="20" w:line="360" w:lineRule="auto"/>
              <w:ind w:firstLine="420" w:firstLineChars="200"/>
              <w:rPr>
                <w:rFonts w:ascii="宋体" w:hAnsi="宋体" w:cs="宋体"/>
                <w:kern w:val="0"/>
              </w:rPr>
            </w:pPr>
            <w:r>
              <w:rPr>
                <w:rFonts w:hint="eastAsia" w:ascii="宋体" w:hAnsi="宋体" w:cs="宋体"/>
                <w:kern w:val="0"/>
              </w:rPr>
              <w:t>符合第二部分询比须知“六、询比有效期”之规定。</w:t>
            </w:r>
          </w:p>
        </w:tc>
      </w:tr>
      <w:tr w14:paraId="473DA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0" w:type="dxa"/>
            <w:vMerge w:val="continue"/>
            <w:vAlign w:val="center"/>
          </w:tcPr>
          <w:p w14:paraId="39F2D351">
            <w:pPr>
              <w:spacing w:line="400" w:lineRule="exact"/>
              <w:jc w:val="center"/>
              <w:rPr>
                <w:rFonts w:ascii="宋体" w:hAnsi="宋体" w:cs="宋体"/>
                <w:kern w:val="0"/>
              </w:rPr>
            </w:pPr>
          </w:p>
        </w:tc>
        <w:tc>
          <w:tcPr>
            <w:tcW w:w="1415" w:type="dxa"/>
            <w:vMerge w:val="continue"/>
            <w:textDirection w:val="tbRlV"/>
            <w:vAlign w:val="center"/>
          </w:tcPr>
          <w:p w14:paraId="63D8C9B7">
            <w:pPr>
              <w:spacing w:line="400" w:lineRule="exact"/>
              <w:ind w:left="113" w:right="113"/>
              <w:jc w:val="center"/>
              <w:rPr>
                <w:rFonts w:ascii="宋体" w:hAnsi="宋体" w:cs="宋体"/>
                <w:kern w:val="0"/>
              </w:rPr>
            </w:pPr>
          </w:p>
        </w:tc>
        <w:tc>
          <w:tcPr>
            <w:tcW w:w="1753" w:type="dxa"/>
            <w:gridSpan w:val="2"/>
            <w:vAlign w:val="center"/>
          </w:tcPr>
          <w:p w14:paraId="3213308D">
            <w:pPr>
              <w:spacing w:line="360" w:lineRule="auto"/>
              <w:jc w:val="center"/>
              <w:rPr>
                <w:rFonts w:ascii="宋体" w:hAnsi="宋体" w:cs="宋体"/>
                <w:kern w:val="0"/>
              </w:rPr>
            </w:pPr>
            <w:r>
              <w:rPr>
                <w:rFonts w:hint="eastAsia"/>
              </w:rPr>
              <w:t>响应报价</w:t>
            </w:r>
          </w:p>
        </w:tc>
        <w:tc>
          <w:tcPr>
            <w:tcW w:w="5476" w:type="dxa"/>
            <w:vAlign w:val="center"/>
          </w:tcPr>
          <w:p w14:paraId="5CCCBC2B">
            <w:pPr>
              <w:spacing w:after="62" w:afterLines="20" w:line="360" w:lineRule="auto"/>
              <w:ind w:firstLine="420" w:firstLineChars="200"/>
              <w:rPr>
                <w:rFonts w:ascii="宋体" w:hAnsi="宋体" w:cs="宋体"/>
                <w:kern w:val="0"/>
              </w:rPr>
            </w:pPr>
            <w:r>
              <w:rPr>
                <w:rFonts w:hint="eastAsia"/>
              </w:rPr>
              <w:t>响应报价均不得超过采购人设置的询比报价最高限价否则作否决竞选处理。</w:t>
            </w:r>
          </w:p>
        </w:tc>
      </w:tr>
      <w:tr w14:paraId="2F3D6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0" w:type="dxa"/>
            <w:vMerge w:val="continue"/>
            <w:vAlign w:val="center"/>
          </w:tcPr>
          <w:p w14:paraId="5BFCDF25">
            <w:pPr>
              <w:spacing w:line="400" w:lineRule="exact"/>
              <w:jc w:val="center"/>
              <w:rPr>
                <w:rFonts w:ascii="宋体" w:hAnsi="宋体" w:cs="宋体"/>
              </w:rPr>
            </w:pPr>
          </w:p>
        </w:tc>
        <w:tc>
          <w:tcPr>
            <w:tcW w:w="1415" w:type="dxa"/>
            <w:vMerge w:val="continue"/>
            <w:textDirection w:val="tbRlV"/>
            <w:vAlign w:val="center"/>
          </w:tcPr>
          <w:p w14:paraId="2314F1B2">
            <w:pPr>
              <w:spacing w:line="400" w:lineRule="exact"/>
              <w:ind w:left="113" w:right="113"/>
              <w:jc w:val="center"/>
              <w:rPr>
                <w:rFonts w:ascii="宋体" w:hAnsi="宋体" w:cs="宋体"/>
              </w:rPr>
            </w:pPr>
          </w:p>
        </w:tc>
        <w:tc>
          <w:tcPr>
            <w:tcW w:w="1753" w:type="dxa"/>
            <w:gridSpan w:val="2"/>
            <w:vAlign w:val="center"/>
          </w:tcPr>
          <w:p w14:paraId="28E8EA27">
            <w:pPr>
              <w:spacing w:line="360" w:lineRule="auto"/>
              <w:jc w:val="center"/>
              <w:rPr>
                <w:rFonts w:ascii="宋体" w:hAnsi="宋体" w:cs="宋体"/>
                <w:kern w:val="0"/>
              </w:rPr>
            </w:pPr>
            <w:r>
              <w:rPr>
                <w:rFonts w:hint="eastAsia" w:ascii="宋体" w:hAnsi="宋体" w:cs="宋体"/>
                <w:kern w:val="0"/>
              </w:rPr>
              <w:t>权利义务</w:t>
            </w:r>
          </w:p>
        </w:tc>
        <w:tc>
          <w:tcPr>
            <w:tcW w:w="5476" w:type="dxa"/>
            <w:vAlign w:val="center"/>
          </w:tcPr>
          <w:p w14:paraId="78AB4405">
            <w:pPr>
              <w:spacing w:after="62" w:afterLines="20" w:line="360" w:lineRule="auto"/>
              <w:ind w:firstLine="420" w:firstLineChars="200"/>
              <w:rPr>
                <w:rFonts w:ascii="宋体" w:hAnsi="宋体" w:cs="宋体"/>
                <w:kern w:val="0"/>
              </w:rPr>
            </w:pPr>
            <w:r>
              <w:rPr>
                <w:rFonts w:hint="eastAsia" w:ascii="宋体" w:hAnsi="宋体" w:cs="宋体"/>
                <w:kern w:val="0"/>
              </w:rPr>
              <w:t>符合</w:t>
            </w:r>
            <w:r>
              <w:rPr>
                <w:rFonts w:hint="eastAsia" w:ascii="宋体" w:cs="宋体"/>
                <w:kern w:val="0"/>
              </w:rPr>
              <w:t>“</w:t>
            </w:r>
            <w:r>
              <w:rPr>
                <w:rFonts w:hint="eastAsia" w:ascii="宋体" w:hAnsi="宋体" w:cs="宋体"/>
                <w:kern w:val="0"/>
              </w:rPr>
              <w:t>合同条款</w:t>
            </w:r>
            <w:r>
              <w:rPr>
                <w:rFonts w:hint="eastAsia" w:ascii="宋体" w:cs="宋体"/>
                <w:kern w:val="0"/>
              </w:rPr>
              <w:t>”</w:t>
            </w:r>
            <w:r>
              <w:rPr>
                <w:rFonts w:hint="eastAsia" w:ascii="宋体" w:hAnsi="宋体" w:cs="宋体"/>
                <w:kern w:val="0"/>
              </w:rPr>
              <w:t>规定，响应文件不应附有采购人不能接受的条件。</w:t>
            </w:r>
          </w:p>
        </w:tc>
      </w:tr>
      <w:tr w14:paraId="1A81B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0" w:type="dxa"/>
            <w:vMerge w:val="continue"/>
            <w:vAlign w:val="center"/>
          </w:tcPr>
          <w:p w14:paraId="3EE6FCD1">
            <w:pPr>
              <w:spacing w:line="400" w:lineRule="exact"/>
              <w:jc w:val="center"/>
              <w:rPr>
                <w:rFonts w:ascii="宋体" w:hAnsi="宋体" w:cs="宋体"/>
                <w:kern w:val="0"/>
                <w:highlight w:val="none"/>
              </w:rPr>
            </w:pPr>
          </w:p>
        </w:tc>
        <w:tc>
          <w:tcPr>
            <w:tcW w:w="1415" w:type="dxa"/>
            <w:vMerge w:val="continue"/>
            <w:textDirection w:val="tbRlV"/>
            <w:vAlign w:val="center"/>
          </w:tcPr>
          <w:p w14:paraId="6EFA50C2">
            <w:pPr>
              <w:spacing w:line="400" w:lineRule="exact"/>
              <w:ind w:left="113" w:right="113"/>
              <w:jc w:val="center"/>
              <w:rPr>
                <w:rFonts w:ascii="宋体" w:hAnsi="宋体" w:cs="宋体"/>
                <w:kern w:val="0"/>
                <w:highlight w:val="none"/>
              </w:rPr>
            </w:pPr>
          </w:p>
        </w:tc>
        <w:tc>
          <w:tcPr>
            <w:tcW w:w="1753" w:type="dxa"/>
            <w:gridSpan w:val="2"/>
            <w:vAlign w:val="center"/>
          </w:tcPr>
          <w:p w14:paraId="657B0A10">
            <w:pPr>
              <w:spacing w:line="360" w:lineRule="auto"/>
              <w:jc w:val="center"/>
              <w:rPr>
                <w:rFonts w:ascii="宋体" w:hAnsi="宋体" w:cs="宋体"/>
                <w:kern w:val="0"/>
                <w:highlight w:val="none"/>
              </w:rPr>
            </w:pPr>
            <w:r>
              <w:rPr>
                <w:rFonts w:hint="eastAsia" w:ascii="宋体" w:hAnsi="宋体" w:cs="宋体"/>
                <w:kern w:val="0"/>
                <w:highlight w:val="none"/>
              </w:rPr>
              <w:t>实质性要求</w:t>
            </w:r>
          </w:p>
        </w:tc>
        <w:tc>
          <w:tcPr>
            <w:tcW w:w="5476" w:type="dxa"/>
            <w:vAlign w:val="center"/>
          </w:tcPr>
          <w:p w14:paraId="09306788">
            <w:pPr>
              <w:spacing w:after="62" w:afterLines="20" w:line="360" w:lineRule="auto"/>
              <w:ind w:firstLine="420" w:firstLineChars="200"/>
              <w:rPr>
                <w:rFonts w:ascii="宋体" w:hAnsi="宋体" w:cs="宋体"/>
                <w:kern w:val="0"/>
                <w:highlight w:val="none"/>
              </w:rPr>
            </w:pPr>
            <w:r>
              <w:rPr>
                <w:rFonts w:hint="eastAsia" w:ascii="宋体" w:hAnsi="宋体" w:cs="宋体"/>
                <w:kern w:val="0"/>
                <w:highlight w:val="none"/>
              </w:rPr>
              <w:t>本次参选不得有串通竞选、弄虚作假等其他违反招竞选相关法律、法规行为。</w:t>
            </w:r>
          </w:p>
          <w:p w14:paraId="5D93C51E">
            <w:pPr>
              <w:spacing w:after="62" w:afterLines="20" w:line="360" w:lineRule="auto"/>
              <w:ind w:firstLine="420" w:firstLineChars="200"/>
              <w:rPr>
                <w:rFonts w:ascii="宋体" w:hAnsi="宋体" w:cs="宋体"/>
                <w:kern w:val="0"/>
                <w:highlight w:val="none"/>
              </w:rPr>
            </w:pPr>
            <w:r>
              <w:rPr>
                <w:rFonts w:hint="eastAsia" w:ascii="宋体" w:hAnsi="宋体" w:cs="宋体"/>
                <w:kern w:val="0"/>
                <w:highlight w:val="none"/>
              </w:rPr>
              <w:t>按评标委员会要求澄清、说明或补正。</w:t>
            </w:r>
          </w:p>
        </w:tc>
      </w:tr>
      <w:tr w14:paraId="79FFE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235" w:type="dxa"/>
            <w:gridSpan w:val="2"/>
            <w:vAlign w:val="center"/>
          </w:tcPr>
          <w:p w14:paraId="0A00C675">
            <w:pPr>
              <w:spacing w:line="400" w:lineRule="exact"/>
              <w:ind w:firstLine="525" w:firstLineChars="250"/>
              <w:rPr>
                <w:rFonts w:ascii="宋体" w:hAnsi="宋体" w:cs="宋体"/>
                <w:kern w:val="0"/>
                <w:highlight w:val="none"/>
              </w:rPr>
            </w:pPr>
            <w:r>
              <w:rPr>
                <w:rFonts w:hint="eastAsia" w:ascii="宋体" w:hAnsi="宋体" w:cs="宋体"/>
                <w:kern w:val="0"/>
                <w:highlight w:val="none"/>
              </w:rPr>
              <w:t>2.2.1</w:t>
            </w:r>
          </w:p>
        </w:tc>
        <w:tc>
          <w:tcPr>
            <w:tcW w:w="1753" w:type="dxa"/>
            <w:gridSpan w:val="2"/>
            <w:vAlign w:val="center"/>
          </w:tcPr>
          <w:p w14:paraId="19F0717B">
            <w:pPr>
              <w:tabs>
                <w:tab w:val="left" w:pos="1875"/>
              </w:tabs>
              <w:spacing w:line="400" w:lineRule="exact"/>
              <w:jc w:val="center"/>
              <w:rPr>
                <w:rFonts w:ascii="宋体" w:hAnsi="宋体" w:cs="宋体"/>
                <w:kern w:val="0"/>
                <w:highlight w:val="none"/>
              </w:rPr>
            </w:pPr>
            <w:r>
              <w:rPr>
                <w:rFonts w:hint="eastAsia" w:ascii="宋体" w:hAnsi="宋体" w:cs="宋体"/>
                <w:kern w:val="0"/>
                <w:highlight w:val="none"/>
              </w:rPr>
              <w:t>分值构成</w:t>
            </w:r>
          </w:p>
          <w:p w14:paraId="4E6CA475">
            <w:pPr>
              <w:tabs>
                <w:tab w:val="left" w:pos="1875"/>
              </w:tabs>
              <w:spacing w:line="400" w:lineRule="exact"/>
              <w:jc w:val="center"/>
              <w:rPr>
                <w:rFonts w:ascii="宋体" w:hAnsi="宋体" w:cs="宋体"/>
                <w:kern w:val="0"/>
                <w:highlight w:val="none"/>
              </w:rPr>
            </w:pPr>
            <w:r>
              <w:rPr>
                <w:rFonts w:hint="eastAsia" w:ascii="宋体" w:hAnsi="宋体" w:cs="宋体"/>
                <w:kern w:val="0"/>
                <w:highlight w:val="none"/>
              </w:rPr>
              <w:t>(总分1OO分)</w:t>
            </w:r>
          </w:p>
        </w:tc>
        <w:tc>
          <w:tcPr>
            <w:tcW w:w="5476" w:type="dxa"/>
            <w:vAlign w:val="center"/>
          </w:tcPr>
          <w:p w14:paraId="4FD5908F">
            <w:pPr>
              <w:snapToGrid w:val="0"/>
              <w:spacing w:line="400" w:lineRule="exact"/>
              <w:ind w:firstLine="315" w:firstLineChars="150"/>
              <w:rPr>
                <w:highlight w:val="none"/>
              </w:rPr>
            </w:pPr>
            <w:r>
              <w:rPr>
                <w:rFonts w:hint="eastAsia"/>
                <w:highlight w:val="none"/>
              </w:rPr>
              <w:t>（1）响应报价：</w:t>
            </w:r>
            <w:r>
              <w:rPr>
                <w:highlight w:val="none"/>
              </w:rPr>
              <w:t>15</w:t>
            </w:r>
            <w:r>
              <w:rPr>
                <w:rFonts w:hint="eastAsia"/>
                <w:highlight w:val="none"/>
              </w:rPr>
              <w:t>分；</w:t>
            </w:r>
          </w:p>
          <w:p w14:paraId="1690BCDF">
            <w:pPr>
              <w:snapToGrid w:val="0"/>
              <w:spacing w:line="400" w:lineRule="exact"/>
              <w:ind w:firstLine="315" w:firstLineChars="150"/>
              <w:rPr>
                <w:highlight w:val="none"/>
              </w:rPr>
            </w:pPr>
            <w:r>
              <w:rPr>
                <w:rFonts w:hint="eastAsia"/>
                <w:highlight w:val="none"/>
              </w:rPr>
              <w:t>（2）技术部分：</w:t>
            </w:r>
            <w:r>
              <w:rPr>
                <w:highlight w:val="none"/>
              </w:rPr>
              <w:t>6</w:t>
            </w:r>
            <w:r>
              <w:rPr>
                <w:rFonts w:hint="eastAsia"/>
                <w:highlight w:val="none"/>
              </w:rPr>
              <w:t>0分；</w:t>
            </w:r>
          </w:p>
          <w:p w14:paraId="424EBB3C">
            <w:pPr>
              <w:snapToGrid w:val="0"/>
              <w:spacing w:line="400" w:lineRule="exact"/>
              <w:ind w:firstLine="315" w:firstLineChars="150"/>
              <w:rPr>
                <w:highlight w:val="none"/>
              </w:rPr>
            </w:pPr>
            <w:r>
              <w:rPr>
                <w:rFonts w:hint="eastAsia"/>
                <w:highlight w:val="none"/>
              </w:rPr>
              <w:t>（3）商务部分：2</w:t>
            </w:r>
            <w:r>
              <w:rPr>
                <w:highlight w:val="none"/>
              </w:rPr>
              <w:t>5</w:t>
            </w:r>
            <w:r>
              <w:rPr>
                <w:rFonts w:hint="eastAsia"/>
                <w:highlight w:val="none"/>
              </w:rPr>
              <w:t>分；</w:t>
            </w:r>
          </w:p>
        </w:tc>
      </w:tr>
      <w:tr w14:paraId="05E72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6" w:hRule="atLeast"/>
          <w:jc w:val="center"/>
        </w:trPr>
        <w:tc>
          <w:tcPr>
            <w:tcW w:w="2235" w:type="dxa"/>
            <w:gridSpan w:val="2"/>
            <w:vAlign w:val="center"/>
          </w:tcPr>
          <w:p w14:paraId="64D2FB66">
            <w:pPr>
              <w:spacing w:line="400" w:lineRule="exact"/>
              <w:ind w:firstLine="420" w:firstLineChars="200"/>
              <w:rPr>
                <w:rFonts w:ascii="宋体" w:hAnsi="宋体" w:cs="宋体"/>
                <w:kern w:val="0"/>
                <w:highlight w:val="none"/>
              </w:rPr>
            </w:pPr>
            <w:r>
              <w:rPr>
                <w:rFonts w:hint="eastAsia" w:ascii="宋体" w:hAnsi="宋体" w:cs="宋体"/>
                <w:kern w:val="0"/>
                <w:highlight w:val="none"/>
              </w:rPr>
              <w:t>2.2.2</w:t>
            </w:r>
          </w:p>
        </w:tc>
        <w:tc>
          <w:tcPr>
            <w:tcW w:w="1753" w:type="dxa"/>
            <w:gridSpan w:val="2"/>
            <w:vAlign w:val="center"/>
          </w:tcPr>
          <w:p w14:paraId="36253AE5">
            <w:pPr>
              <w:spacing w:line="400" w:lineRule="exact"/>
              <w:jc w:val="center"/>
              <w:rPr>
                <w:rFonts w:ascii="宋体" w:hAnsi="宋体" w:cs="宋体"/>
                <w:kern w:val="0"/>
                <w:highlight w:val="none"/>
              </w:rPr>
            </w:pPr>
            <w:r>
              <w:rPr>
                <w:rFonts w:hint="eastAsia" w:ascii="宋体" w:hAnsi="宋体" w:cs="宋体"/>
                <w:kern w:val="0"/>
                <w:highlight w:val="none"/>
              </w:rPr>
              <w:t>评审基准价及偏差率计算方法</w:t>
            </w:r>
          </w:p>
        </w:tc>
        <w:tc>
          <w:tcPr>
            <w:tcW w:w="5476" w:type="dxa"/>
          </w:tcPr>
          <w:p w14:paraId="7F75985D">
            <w:pPr>
              <w:pStyle w:val="17"/>
              <w:numPr>
                <w:ilvl w:val="0"/>
                <w:numId w:val="1"/>
              </w:numPr>
              <w:spacing w:after="0" w:line="400" w:lineRule="exact"/>
              <w:ind w:left="0" w:leftChars="0" w:firstLine="420" w:firstLineChars="200"/>
              <w:rPr>
                <w:rFonts w:ascii="宋体" w:hAnsi="宋体" w:cs="宋体"/>
                <w:kern w:val="0"/>
                <w:sz w:val="21"/>
                <w:highlight w:val="none"/>
              </w:rPr>
            </w:pPr>
            <w:r>
              <w:rPr>
                <w:rFonts w:hint="eastAsia" w:ascii="宋体" w:hAnsi="宋体" w:cs="宋体"/>
                <w:kern w:val="0"/>
                <w:sz w:val="21"/>
                <w:highlight w:val="none"/>
              </w:rPr>
              <w:t>评审基准价计算方法：所有初步评审合格的询比申请人（响应报价高于最高限价的除外）的响应报价中去掉六分之一（不能整除的按小数点前整数取整，不足六家报价则不去掉）的最低价和相同家数的最高价后的算术平均值。</w:t>
            </w:r>
          </w:p>
          <w:p w14:paraId="170F7B07">
            <w:pPr>
              <w:pStyle w:val="17"/>
              <w:numPr>
                <w:ilvl w:val="0"/>
                <w:numId w:val="1"/>
              </w:numPr>
              <w:spacing w:after="0" w:line="400" w:lineRule="exact"/>
              <w:ind w:left="0" w:leftChars="0" w:firstLine="420" w:firstLineChars="200"/>
              <w:rPr>
                <w:rFonts w:ascii="宋体" w:hAnsi="宋体" w:cs="宋体"/>
                <w:kern w:val="0"/>
                <w:sz w:val="21"/>
                <w:highlight w:val="none"/>
              </w:rPr>
            </w:pPr>
            <w:r>
              <w:rPr>
                <w:rFonts w:hint="eastAsia" w:ascii="宋体" w:hAnsi="宋体" w:cs="宋体"/>
                <w:kern w:val="0"/>
                <w:sz w:val="21"/>
                <w:highlight w:val="none"/>
              </w:rPr>
              <w:t>偏差率计算方法：偏差率=（响应报价-评审基准价）/评审基准价*100%。</w:t>
            </w:r>
          </w:p>
        </w:tc>
      </w:tr>
      <w:tr w14:paraId="3181C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0" w:type="dxa"/>
            <w:vAlign w:val="center"/>
          </w:tcPr>
          <w:p w14:paraId="5A808C83">
            <w:pPr>
              <w:snapToGrid w:val="0"/>
              <w:spacing w:line="400" w:lineRule="exact"/>
              <w:ind w:left="105" w:hanging="105" w:hangingChars="50"/>
              <w:jc w:val="center"/>
              <w:rPr>
                <w:rFonts w:ascii="宋体" w:hAnsi="宋体" w:cs="宋体"/>
                <w:kern w:val="0"/>
                <w:highlight w:val="none"/>
              </w:rPr>
            </w:pPr>
            <w:r>
              <w:rPr>
                <w:rFonts w:hint="eastAsia" w:ascii="宋体" w:hAnsi="宋体" w:cs="宋体"/>
                <w:kern w:val="0"/>
                <w:highlight w:val="none"/>
              </w:rPr>
              <w:t>2.2.3</w:t>
            </w:r>
          </w:p>
          <w:p w14:paraId="691AEBA1">
            <w:pPr>
              <w:spacing w:line="400" w:lineRule="exact"/>
              <w:jc w:val="center"/>
              <w:rPr>
                <w:rFonts w:ascii="宋体" w:hAnsi="宋体" w:cs="宋体"/>
                <w:kern w:val="0"/>
                <w:highlight w:val="none"/>
              </w:rPr>
            </w:pPr>
            <w:r>
              <w:rPr>
                <w:rFonts w:hint="eastAsia" w:ascii="宋体" w:hAnsi="宋体" w:cs="宋体"/>
                <w:kern w:val="0"/>
                <w:highlight w:val="none"/>
              </w:rPr>
              <w:t>（1）</w:t>
            </w:r>
          </w:p>
        </w:tc>
        <w:tc>
          <w:tcPr>
            <w:tcW w:w="1415" w:type="dxa"/>
            <w:vAlign w:val="center"/>
          </w:tcPr>
          <w:p w14:paraId="2621DA54">
            <w:pPr>
              <w:spacing w:line="400" w:lineRule="exact"/>
              <w:jc w:val="center"/>
              <w:rPr>
                <w:rFonts w:ascii="宋体" w:hAnsi="宋体" w:cs="宋体"/>
                <w:kern w:val="0"/>
                <w:highlight w:val="none"/>
              </w:rPr>
            </w:pPr>
            <w:r>
              <w:rPr>
                <w:rFonts w:hint="eastAsia" w:ascii="宋体" w:hAnsi="宋体" w:cs="宋体"/>
                <w:kern w:val="0"/>
                <w:highlight w:val="none"/>
              </w:rPr>
              <w:t>响应报价</w:t>
            </w:r>
          </w:p>
          <w:p w14:paraId="36FBA4B7">
            <w:pPr>
              <w:spacing w:line="400" w:lineRule="exact"/>
              <w:jc w:val="center"/>
              <w:rPr>
                <w:rFonts w:ascii="宋体" w:hAnsi="宋体" w:cs="宋体"/>
                <w:kern w:val="0"/>
                <w:highlight w:val="none"/>
              </w:rPr>
            </w:pPr>
            <w:r>
              <w:rPr>
                <w:rFonts w:hint="eastAsia" w:ascii="宋体" w:hAnsi="宋体" w:cs="宋体"/>
                <w:kern w:val="0"/>
                <w:highlight w:val="none"/>
              </w:rPr>
              <w:t>评分标准   （</w:t>
            </w:r>
            <w:r>
              <w:rPr>
                <w:rFonts w:ascii="宋体" w:hAnsi="宋体" w:cs="宋体"/>
                <w:kern w:val="0"/>
                <w:highlight w:val="none"/>
                <w:u w:val="single"/>
              </w:rPr>
              <w:t>15</w:t>
            </w:r>
            <w:r>
              <w:rPr>
                <w:rFonts w:hint="eastAsia" w:ascii="宋体" w:hAnsi="宋体" w:cs="宋体"/>
                <w:kern w:val="0"/>
                <w:highlight w:val="none"/>
              </w:rPr>
              <w:t>分）</w:t>
            </w:r>
          </w:p>
        </w:tc>
        <w:tc>
          <w:tcPr>
            <w:tcW w:w="1753" w:type="dxa"/>
            <w:gridSpan w:val="2"/>
            <w:vAlign w:val="center"/>
          </w:tcPr>
          <w:p w14:paraId="047CBC50">
            <w:pPr>
              <w:spacing w:line="400" w:lineRule="exact"/>
              <w:jc w:val="center"/>
              <w:rPr>
                <w:rFonts w:ascii="宋体" w:hAnsi="宋体" w:cs="宋体"/>
                <w:kern w:val="0"/>
                <w:highlight w:val="none"/>
              </w:rPr>
            </w:pPr>
            <w:r>
              <w:rPr>
                <w:rFonts w:hint="eastAsia" w:ascii="宋体" w:hAnsi="宋体" w:cs="宋体"/>
                <w:kern w:val="0"/>
                <w:highlight w:val="none"/>
              </w:rPr>
              <w:t>响应报价</w:t>
            </w:r>
          </w:p>
        </w:tc>
        <w:tc>
          <w:tcPr>
            <w:tcW w:w="5476" w:type="dxa"/>
          </w:tcPr>
          <w:p w14:paraId="6BD1D417">
            <w:pPr>
              <w:pStyle w:val="17"/>
              <w:spacing w:after="0" w:line="400" w:lineRule="exact"/>
              <w:ind w:left="0" w:leftChars="0" w:firstLine="420" w:firstLineChars="200"/>
              <w:rPr>
                <w:rFonts w:ascii="宋体" w:hAnsi="宋体" w:cs="宋体"/>
                <w:kern w:val="0"/>
                <w:sz w:val="21"/>
                <w:highlight w:val="none"/>
              </w:rPr>
            </w:pPr>
            <w:r>
              <w:rPr>
                <w:rFonts w:hint="eastAsia" w:ascii="宋体" w:hAnsi="宋体" w:cs="宋体"/>
                <w:sz w:val="21"/>
                <w:highlight w:val="none"/>
              </w:rPr>
              <w:t>所有通过初步评审合格询比申请人的响应报价与评审基准价相比，每增加1%在</w:t>
            </w:r>
            <w:r>
              <w:rPr>
                <w:rFonts w:ascii="宋体" w:hAnsi="宋体" w:cs="宋体"/>
                <w:sz w:val="21"/>
                <w:highlight w:val="none"/>
                <w:u w:val="single"/>
              </w:rPr>
              <w:t>15</w:t>
            </w:r>
            <w:r>
              <w:rPr>
                <w:rFonts w:hint="eastAsia" w:ascii="宋体" w:hAnsi="宋体" w:cs="宋体"/>
                <w:sz w:val="21"/>
                <w:highlight w:val="none"/>
              </w:rPr>
              <w:t>分的基础上扣0.5分，扣完为止；每减少1%在</w:t>
            </w:r>
            <w:r>
              <w:rPr>
                <w:rFonts w:ascii="宋体" w:hAnsi="宋体" w:cs="宋体"/>
                <w:sz w:val="21"/>
                <w:highlight w:val="none"/>
                <w:u w:val="single"/>
              </w:rPr>
              <w:t>15</w:t>
            </w:r>
            <w:r>
              <w:rPr>
                <w:rFonts w:hint="eastAsia" w:ascii="宋体" w:hAnsi="宋体" w:cs="宋体"/>
                <w:sz w:val="21"/>
                <w:highlight w:val="none"/>
              </w:rPr>
              <w:t>分的基础上扣0.25分，扣完为止。（按插入法计算得分；以上计算取小数点后两位，第三位四舍五入。）</w:t>
            </w:r>
          </w:p>
        </w:tc>
      </w:tr>
      <w:tr w14:paraId="5B1F8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 w:hRule="atLeast"/>
          <w:jc w:val="center"/>
        </w:trPr>
        <w:tc>
          <w:tcPr>
            <w:tcW w:w="820" w:type="dxa"/>
            <w:vMerge w:val="restart"/>
            <w:vAlign w:val="center"/>
          </w:tcPr>
          <w:p w14:paraId="1278A201">
            <w:pPr>
              <w:snapToGrid w:val="0"/>
              <w:spacing w:line="400" w:lineRule="exact"/>
              <w:ind w:left="105" w:hanging="105" w:hangingChars="50"/>
              <w:jc w:val="center"/>
              <w:rPr>
                <w:rFonts w:ascii="宋体" w:hAnsi="宋体" w:cs="宋体"/>
                <w:kern w:val="0"/>
                <w:highlight w:val="none"/>
              </w:rPr>
            </w:pPr>
            <w:r>
              <w:rPr>
                <w:rFonts w:hint="eastAsia" w:ascii="宋体" w:hAnsi="宋体" w:cs="宋体"/>
                <w:kern w:val="0"/>
                <w:highlight w:val="none"/>
              </w:rPr>
              <w:t>2.2.3</w:t>
            </w:r>
          </w:p>
          <w:p w14:paraId="57357E91">
            <w:pPr>
              <w:snapToGrid w:val="0"/>
              <w:spacing w:line="400" w:lineRule="exact"/>
              <w:ind w:left="105" w:hanging="105" w:hangingChars="50"/>
              <w:jc w:val="center"/>
              <w:rPr>
                <w:rFonts w:ascii="宋体" w:hAnsi="宋体" w:cs="宋体"/>
                <w:kern w:val="0"/>
                <w:highlight w:val="none"/>
              </w:rPr>
            </w:pPr>
            <w:r>
              <w:rPr>
                <w:rFonts w:hint="eastAsia" w:ascii="宋体" w:hAnsi="宋体" w:cs="宋体"/>
                <w:kern w:val="0"/>
                <w:highlight w:val="none"/>
              </w:rPr>
              <w:t>（2）</w:t>
            </w:r>
          </w:p>
        </w:tc>
        <w:tc>
          <w:tcPr>
            <w:tcW w:w="1415" w:type="dxa"/>
            <w:vMerge w:val="restart"/>
            <w:vAlign w:val="center"/>
          </w:tcPr>
          <w:p w14:paraId="293EC006">
            <w:pPr>
              <w:snapToGrid w:val="0"/>
              <w:spacing w:line="400" w:lineRule="exact"/>
              <w:ind w:left="105" w:hanging="105" w:hangingChars="50"/>
              <w:jc w:val="center"/>
              <w:rPr>
                <w:rFonts w:ascii="宋体" w:hAnsi="宋体" w:cs="宋体"/>
                <w:kern w:val="0"/>
                <w:highlight w:val="none"/>
              </w:rPr>
            </w:pPr>
            <w:r>
              <w:rPr>
                <w:rFonts w:hint="eastAsia" w:ascii="宋体" w:hAnsi="宋体" w:cs="宋体"/>
                <w:kern w:val="0"/>
                <w:highlight w:val="none"/>
              </w:rPr>
              <w:t>技术部分</w:t>
            </w:r>
          </w:p>
          <w:p w14:paraId="2CE6DAB0">
            <w:pPr>
              <w:snapToGrid w:val="0"/>
              <w:spacing w:line="400" w:lineRule="exact"/>
              <w:ind w:left="105" w:hanging="105" w:hangingChars="50"/>
              <w:jc w:val="center"/>
              <w:rPr>
                <w:rFonts w:ascii="宋体" w:hAnsi="宋体" w:cs="宋体"/>
                <w:kern w:val="0"/>
                <w:highlight w:val="none"/>
              </w:rPr>
            </w:pPr>
            <w:r>
              <w:rPr>
                <w:rFonts w:hint="eastAsia" w:ascii="宋体" w:hAnsi="宋体" w:cs="宋体"/>
                <w:kern w:val="0"/>
                <w:highlight w:val="none"/>
              </w:rPr>
              <w:t>评分标准</w:t>
            </w:r>
          </w:p>
          <w:p w14:paraId="0A05EE88">
            <w:pPr>
              <w:snapToGrid w:val="0"/>
              <w:spacing w:line="400" w:lineRule="exact"/>
              <w:ind w:left="105" w:hanging="105" w:hangingChars="50"/>
              <w:jc w:val="center"/>
              <w:rPr>
                <w:rFonts w:ascii="宋体" w:hAnsi="宋体" w:cs="宋体"/>
                <w:kern w:val="0"/>
                <w:highlight w:val="none"/>
              </w:rPr>
            </w:pPr>
            <w:r>
              <w:rPr>
                <w:rFonts w:hint="eastAsia" w:ascii="宋体" w:hAnsi="宋体" w:cs="宋体"/>
                <w:kern w:val="0"/>
                <w:highlight w:val="none"/>
              </w:rPr>
              <w:t>（</w:t>
            </w:r>
            <w:r>
              <w:rPr>
                <w:rFonts w:ascii="宋体" w:hAnsi="宋体" w:cs="宋体"/>
                <w:kern w:val="0"/>
                <w:highlight w:val="none"/>
              </w:rPr>
              <w:t>60</w:t>
            </w:r>
            <w:r>
              <w:rPr>
                <w:rFonts w:hint="eastAsia" w:ascii="宋体" w:hAnsi="宋体" w:cs="宋体"/>
                <w:kern w:val="0"/>
                <w:highlight w:val="none"/>
              </w:rPr>
              <w:t>分）</w:t>
            </w:r>
          </w:p>
        </w:tc>
        <w:tc>
          <w:tcPr>
            <w:tcW w:w="1753" w:type="dxa"/>
            <w:gridSpan w:val="2"/>
            <w:vMerge w:val="restart"/>
            <w:vAlign w:val="center"/>
          </w:tcPr>
          <w:p w14:paraId="79828B02">
            <w:pPr>
              <w:snapToGrid w:val="0"/>
              <w:spacing w:line="400" w:lineRule="exact"/>
              <w:ind w:left="105" w:hanging="105" w:hangingChars="50"/>
              <w:jc w:val="center"/>
              <w:rPr>
                <w:rFonts w:ascii="宋体" w:hAnsi="宋体" w:cs="宋体"/>
                <w:kern w:val="0"/>
                <w:highlight w:val="none"/>
              </w:rPr>
            </w:pPr>
            <w:r>
              <w:rPr>
                <w:rFonts w:hint="eastAsia" w:ascii="宋体" w:hAnsi="宋体" w:cs="宋体"/>
                <w:kern w:val="0"/>
                <w:highlight w:val="none"/>
              </w:rPr>
              <w:t>服务方案</w:t>
            </w:r>
          </w:p>
        </w:tc>
        <w:tc>
          <w:tcPr>
            <w:tcW w:w="5476" w:type="dxa"/>
            <w:vAlign w:val="center"/>
          </w:tcPr>
          <w:p w14:paraId="3879E5C5">
            <w:pPr>
              <w:snapToGrid w:val="0"/>
              <w:spacing w:line="400" w:lineRule="exact"/>
              <w:ind w:left="105" w:hanging="105" w:hangingChars="50"/>
              <w:jc w:val="left"/>
              <w:rPr>
                <w:rFonts w:hint="eastAsia" w:ascii="宋体" w:hAnsi="宋体" w:cs="宋体"/>
                <w:kern w:val="0"/>
                <w:highlight w:val="none"/>
              </w:rPr>
            </w:pPr>
            <w:r>
              <w:rPr>
                <w:rFonts w:hint="eastAsia" w:ascii="宋体" w:hAnsi="宋体" w:cs="宋体"/>
                <w:kern w:val="0"/>
                <w:highlight w:val="none"/>
              </w:rPr>
              <w:t>1.工作方案（</w:t>
            </w:r>
            <w:r>
              <w:rPr>
                <w:rFonts w:ascii="宋体" w:hAnsi="宋体" w:cs="宋体"/>
                <w:kern w:val="0"/>
                <w:highlight w:val="none"/>
              </w:rPr>
              <w:t>30</w:t>
            </w:r>
            <w:r>
              <w:rPr>
                <w:rFonts w:hint="eastAsia" w:ascii="宋体" w:hAnsi="宋体" w:cs="宋体"/>
                <w:kern w:val="0"/>
                <w:highlight w:val="none"/>
              </w:rPr>
              <w:t>分）</w:t>
            </w:r>
          </w:p>
          <w:p w14:paraId="444ECBD0">
            <w:pPr>
              <w:snapToGrid w:val="0"/>
              <w:spacing w:line="400" w:lineRule="exact"/>
              <w:ind w:left="105" w:hanging="105" w:hangingChars="50"/>
              <w:jc w:val="left"/>
              <w:rPr>
                <w:rFonts w:hint="eastAsia" w:ascii="宋体" w:hAnsi="宋体" w:cs="宋体"/>
                <w:kern w:val="0"/>
                <w:highlight w:val="none"/>
              </w:rPr>
            </w:pPr>
            <w:r>
              <w:rPr>
                <w:rFonts w:hint="eastAsia" w:ascii="宋体" w:hAnsi="宋体" w:cs="宋体"/>
                <w:kern w:val="0"/>
                <w:highlight w:val="none"/>
              </w:rPr>
              <w:t>供应商编制本项目的工作方案，包括进度计划、工作时间安排、进度保障措施。</w:t>
            </w:r>
          </w:p>
          <w:p w14:paraId="2C0CD706">
            <w:pPr>
              <w:snapToGrid w:val="0"/>
              <w:spacing w:line="400" w:lineRule="exact"/>
              <w:ind w:left="105" w:hanging="105" w:hangingChars="50"/>
              <w:jc w:val="left"/>
              <w:rPr>
                <w:rFonts w:hint="eastAsia" w:ascii="宋体" w:hAnsi="宋体" w:cs="宋体"/>
                <w:kern w:val="0"/>
                <w:highlight w:val="none"/>
              </w:rPr>
            </w:pPr>
            <w:r>
              <w:rPr>
                <w:rFonts w:hint="eastAsia" w:ascii="宋体" w:hAnsi="宋体" w:cs="宋体"/>
                <w:kern w:val="0"/>
                <w:highlight w:val="none"/>
              </w:rPr>
              <w:t>内容不存在瑕疵的得3</w:t>
            </w:r>
            <w:r>
              <w:rPr>
                <w:rFonts w:ascii="宋体" w:hAnsi="宋体" w:cs="宋体"/>
                <w:kern w:val="0"/>
                <w:highlight w:val="none"/>
              </w:rPr>
              <w:t>0</w:t>
            </w:r>
            <w:r>
              <w:rPr>
                <w:rFonts w:hint="eastAsia" w:ascii="宋体" w:hAnsi="宋体" w:cs="宋体"/>
                <w:kern w:val="0"/>
                <w:highlight w:val="none"/>
              </w:rPr>
              <w:t>分；</w:t>
            </w:r>
          </w:p>
          <w:p w14:paraId="6429A088">
            <w:pPr>
              <w:snapToGrid w:val="0"/>
              <w:spacing w:line="400" w:lineRule="exact"/>
              <w:ind w:left="105" w:hanging="105" w:hangingChars="50"/>
              <w:jc w:val="left"/>
              <w:rPr>
                <w:rFonts w:hint="eastAsia" w:ascii="宋体" w:hAnsi="宋体" w:cs="宋体"/>
                <w:kern w:val="0"/>
                <w:highlight w:val="none"/>
              </w:rPr>
            </w:pPr>
            <w:r>
              <w:rPr>
                <w:rFonts w:hint="eastAsia" w:ascii="宋体" w:hAnsi="宋体" w:cs="宋体"/>
                <w:kern w:val="0"/>
                <w:highlight w:val="none"/>
              </w:rPr>
              <w:t>内容存在1处瑕疵的得2</w:t>
            </w:r>
            <w:r>
              <w:rPr>
                <w:rFonts w:ascii="宋体" w:hAnsi="宋体" w:cs="宋体"/>
                <w:kern w:val="0"/>
                <w:highlight w:val="none"/>
              </w:rPr>
              <w:t>5</w:t>
            </w:r>
            <w:r>
              <w:rPr>
                <w:rFonts w:hint="eastAsia" w:ascii="宋体" w:hAnsi="宋体" w:cs="宋体"/>
                <w:kern w:val="0"/>
                <w:highlight w:val="none"/>
              </w:rPr>
              <w:t>分；</w:t>
            </w:r>
          </w:p>
          <w:p w14:paraId="0803CD36">
            <w:pPr>
              <w:snapToGrid w:val="0"/>
              <w:spacing w:line="400" w:lineRule="exact"/>
              <w:ind w:left="105" w:hanging="105" w:hangingChars="50"/>
              <w:jc w:val="left"/>
              <w:rPr>
                <w:rFonts w:hint="eastAsia" w:ascii="宋体" w:hAnsi="宋体" w:cs="宋体"/>
                <w:kern w:val="0"/>
                <w:highlight w:val="none"/>
              </w:rPr>
            </w:pPr>
            <w:r>
              <w:rPr>
                <w:rFonts w:hint="eastAsia" w:ascii="宋体" w:hAnsi="宋体" w:cs="宋体"/>
                <w:kern w:val="0"/>
                <w:highlight w:val="none"/>
              </w:rPr>
              <w:t>内容存在2处瑕疵的得</w:t>
            </w:r>
            <w:r>
              <w:rPr>
                <w:rFonts w:ascii="宋体" w:hAnsi="宋体" w:cs="宋体"/>
                <w:kern w:val="0"/>
                <w:highlight w:val="none"/>
              </w:rPr>
              <w:t>20</w:t>
            </w:r>
            <w:r>
              <w:rPr>
                <w:rFonts w:hint="eastAsia" w:ascii="宋体" w:hAnsi="宋体" w:cs="宋体"/>
                <w:kern w:val="0"/>
                <w:highlight w:val="none"/>
              </w:rPr>
              <w:t>分；</w:t>
            </w:r>
          </w:p>
          <w:p w14:paraId="55FDAE8C">
            <w:pPr>
              <w:snapToGrid w:val="0"/>
              <w:spacing w:line="400" w:lineRule="exact"/>
              <w:ind w:left="105" w:hanging="105" w:hangingChars="50"/>
              <w:jc w:val="left"/>
              <w:rPr>
                <w:rFonts w:hint="eastAsia" w:ascii="宋体" w:hAnsi="宋体" w:cs="宋体"/>
                <w:kern w:val="0"/>
                <w:highlight w:val="none"/>
              </w:rPr>
            </w:pPr>
            <w:r>
              <w:rPr>
                <w:rFonts w:hint="eastAsia" w:ascii="宋体" w:hAnsi="宋体" w:cs="宋体"/>
                <w:kern w:val="0"/>
                <w:highlight w:val="none"/>
              </w:rPr>
              <w:t>内容存在3处瑕疵的得</w:t>
            </w:r>
            <w:r>
              <w:rPr>
                <w:rFonts w:ascii="宋体" w:hAnsi="宋体" w:cs="宋体"/>
                <w:kern w:val="0"/>
                <w:highlight w:val="none"/>
              </w:rPr>
              <w:t>15</w:t>
            </w:r>
            <w:r>
              <w:rPr>
                <w:rFonts w:hint="eastAsia" w:ascii="宋体" w:hAnsi="宋体" w:cs="宋体"/>
                <w:kern w:val="0"/>
                <w:highlight w:val="none"/>
              </w:rPr>
              <w:t>分；</w:t>
            </w:r>
          </w:p>
          <w:p w14:paraId="67765E64">
            <w:pPr>
              <w:snapToGrid w:val="0"/>
              <w:spacing w:line="400" w:lineRule="exact"/>
              <w:ind w:left="105" w:hanging="105" w:hangingChars="50"/>
              <w:jc w:val="left"/>
              <w:rPr>
                <w:rFonts w:ascii="宋体" w:hAnsi="宋体" w:cs="宋体"/>
                <w:kern w:val="0"/>
                <w:highlight w:val="none"/>
              </w:rPr>
            </w:pPr>
            <w:r>
              <w:rPr>
                <w:rFonts w:hint="eastAsia" w:ascii="宋体" w:hAnsi="宋体" w:cs="宋体"/>
                <w:kern w:val="0"/>
                <w:highlight w:val="none"/>
              </w:rPr>
              <w:t>内容存在4处瑕疵的得</w:t>
            </w:r>
            <w:r>
              <w:rPr>
                <w:rFonts w:ascii="宋体" w:hAnsi="宋体" w:cs="宋体"/>
                <w:kern w:val="0"/>
                <w:highlight w:val="none"/>
              </w:rPr>
              <w:t>10</w:t>
            </w:r>
            <w:r>
              <w:rPr>
                <w:rFonts w:hint="eastAsia" w:ascii="宋体" w:hAnsi="宋体" w:cs="宋体"/>
                <w:kern w:val="0"/>
                <w:highlight w:val="none"/>
              </w:rPr>
              <w:t>分；</w:t>
            </w:r>
          </w:p>
          <w:p w14:paraId="5DED900E">
            <w:pPr>
              <w:snapToGrid w:val="0"/>
              <w:spacing w:line="400" w:lineRule="exact"/>
              <w:ind w:left="105" w:hanging="105" w:hangingChars="50"/>
              <w:jc w:val="left"/>
              <w:rPr>
                <w:rFonts w:hint="eastAsia" w:ascii="宋体" w:hAnsi="宋体" w:cs="宋体"/>
                <w:kern w:val="0"/>
                <w:highlight w:val="none"/>
              </w:rPr>
            </w:pPr>
            <w:r>
              <w:rPr>
                <w:rFonts w:hint="eastAsia" w:ascii="宋体" w:hAnsi="宋体" w:cs="宋体"/>
                <w:kern w:val="0"/>
                <w:highlight w:val="none"/>
              </w:rPr>
              <w:t>内容存在</w:t>
            </w:r>
            <w:r>
              <w:rPr>
                <w:rFonts w:ascii="宋体" w:hAnsi="宋体" w:cs="宋体"/>
                <w:kern w:val="0"/>
                <w:highlight w:val="none"/>
              </w:rPr>
              <w:t>5</w:t>
            </w:r>
            <w:r>
              <w:rPr>
                <w:rFonts w:hint="eastAsia" w:ascii="宋体" w:hAnsi="宋体" w:cs="宋体"/>
                <w:kern w:val="0"/>
                <w:highlight w:val="none"/>
              </w:rPr>
              <w:t>处及以上瑕疵或未提供的，得0分。</w:t>
            </w:r>
          </w:p>
        </w:tc>
      </w:tr>
      <w:tr w14:paraId="7AB50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 w:hRule="atLeast"/>
          <w:jc w:val="center"/>
        </w:trPr>
        <w:tc>
          <w:tcPr>
            <w:tcW w:w="820" w:type="dxa"/>
            <w:vMerge w:val="continue"/>
            <w:vAlign w:val="center"/>
          </w:tcPr>
          <w:p w14:paraId="575D4C9A">
            <w:pPr>
              <w:snapToGrid w:val="0"/>
              <w:spacing w:line="400" w:lineRule="exact"/>
              <w:ind w:left="105" w:hanging="105" w:hangingChars="50"/>
              <w:jc w:val="center"/>
              <w:rPr>
                <w:rFonts w:ascii="宋体" w:hAnsi="宋体" w:cs="宋体"/>
                <w:kern w:val="0"/>
                <w:highlight w:val="none"/>
              </w:rPr>
            </w:pPr>
          </w:p>
        </w:tc>
        <w:tc>
          <w:tcPr>
            <w:tcW w:w="1415" w:type="dxa"/>
            <w:vMerge w:val="continue"/>
            <w:vAlign w:val="center"/>
          </w:tcPr>
          <w:p w14:paraId="70DF67BB">
            <w:pPr>
              <w:snapToGrid w:val="0"/>
              <w:spacing w:line="400" w:lineRule="exact"/>
              <w:ind w:left="105" w:hanging="105" w:hangingChars="50"/>
              <w:jc w:val="center"/>
              <w:rPr>
                <w:rFonts w:ascii="宋体" w:hAnsi="宋体" w:cs="宋体"/>
                <w:kern w:val="0"/>
                <w:highlight w:val="none"/>
              </w:rPr>
            </w:pPr>
          </w:p>
        </w:tc>
        <w:tc>
          <w:tcPr>
            <w:tcW w:w="1753" w:type="dxa"/>
            <w:gridSpan w:val="2"/>
            <w:vMerge w:val="continue"/>
            <w:vAlign w:val="center"/>
          </w:tcPr>
          <w:p w14:paraId="04E7CC38">
            <w:pPr>
              <w:snapToGrid w:val="0"/>
              <w:spacing w:line="400" w:lineRule="exact"/>
              <w:ind w:left="105" w:hanging="105" w:hangingChars="50"/>
              <w:jc w:val="center"/>
              <w:rPr>
                <w:rFonts w:ascii="宋体" w:hAnsi="宋体" w:cs="宋体"/>
                <w:kern w:val="0"/>
                <w:highlight w:val="none"/>
              </w:rPr>
            </w:pPr>
          </w:p>
        </w:tc>
        <w:tc>
          <w:tcPr>
            <w:tcW w:w="5476" w:type="dxa"/>
            <w:vAlign w:val="center"/>
          </w:tcPr>
          <w:p w14:paraId="43C4608A">
            <w:pPr>
              <w:snapToGrid w:val="0"/>
              <w:spacing w:line="400" w:lineRule="exact"/>
              <w:ind w:left="105" w:hanging="105" w:hangingChars="50"/>
              <w:jc w:val="left"/>
              <w:rPr>
                <w:rFonts w:hint="eastAsia" w:ascii="宋体" w:hAnsi="宋体" w:cs="宋体"/>
                <w:kern w:val="0"/>
                <w:highlight w:val="none"/>
              </w:rPr>
            </w:pPr>
            <w:r>
              <w:rPr>
                <w:rFonts w:hint="eastAsia" w:ascii="宋体" w:hAnsi="宋体" w:cs="宋体"/>
                <w:kern w:val="0"/>
                <w:highlight w:val="none"/>
              </w:rPr>
              <w:t>2.质量控制方案（30分）</w:t>
            </w:r>
          </w:p>
          <w:p w14:paraId="0E3ED427">
            <w:pPr>
              <w:snapToGrid w:val="0"/>
              <w:spacing w:line="400" w:lineRule="exact"/>
              <w:ind w:left="105" w:hanging="105" w:hangingChars="50"/>
              <w:jc w:val="left"/>
              <w:rPr>
                <w:rFonts w:hint="eastAsia" w:ascii="宋体" w:hAnsi="宋体" w:cs="宋体"/>
                <w:kern w:val="0"/>
                <w:highlight w:val="none"/>
              </w:rPr>
            </w:pPr>
            <w:r>
              <w:rPr>
                <w:rFonts w:hint="eastAsia" w:ascii="宋体" w:hAnsi="宋体" w:cs="宋体"/>
                <w:kern w:val="0"/>
                <w:highlight w:val="none"/>
              </w:rPr>
              <w:t>供应商编制本项目的质量控制方案，包括管理制度、质量保障措施、风险控制措施、服务承诺。</w:t>
            </w:r>
          </w:p>
          <w:p w14:paraId="371EC97A">
            <w:pPr>
              <w:snapToGrid w:val="0"/>
              <w:spacing w:line="400" w:lineRule="exact"/>
              <w:ind w:left="105" w:hanging="105" w:hangingChars="50"/>
              <w:jc w:val="left"/>
              <w:rPr>
                <w:rFonts w:hint="eastAsia" w:ascii="宋体" w:hAnsi="宋体" w:cs="宋体"/>
                <w:kern w:val="0"/>
                <w:highlight w:val="none"/>
              </w:rPr>
            </w:pPr>
            <w:r>
              <w:rPr>
                <w:rFonts w:hint="eastAsia" w:ascii="宋体" w:hAnsi="宋体" w:cs="宋体"/>
                <w:kern w:val="0"/>
                <w:highlight w:val="none"/>
              </w:rPr>
              <w:t>内容不存在瑕疵的得30分；</w:t>
            </w:r>
          </w:p>
          <w:p w14:paraId="211C91C8">
            <w:pPr>
              <w:snapToGrid w:val="0"/>
              <w:spacing w:line="400" w:lineRule="exact"/>
              <w:ind w:left="105" w:hanging="105" w:hangingChars="50"/>
              <w:jc w:val="left"/>
              <w:rPr>
                <w:rFonts w:hint="eastAsia" w:ascii="宋体" w:hAnsi="宋体" w:cs="宋体"/>
                <w:kern w:val="0"/>
                <w:highlight w:val="none"/>
              </w:rPr>
            </w:pPr>
            <w:r>
              <w:rPr>
                <w:rFonts w:hint="eastAsia" w:ascii="宋体" w:hAnsi="宋体" w:cs="宋体"/>
                <w:kern w:val="0"/>
                <w:highlight w:val="none"/>
              </w:rPr>
              <w:t>内容存在1处瑕疵的得</w:t>
            </w:r>
            <w:r>
              <w:rPr>
                <w:rFonts w:ascii="宋体" w:hAnsi="宋体" w:cs="宋体"/>
                <w:kern w:val="0"/>
                <w:highlight w:val="none"/>
              </w:rPr>
              <w:t>25</w:t>
            </w:r>
            <w:r>
              <w:rPr>
                <w:rFonts w:hint="eastAsia" w:ascii="宋体" w:hAnsi="宋体" w:cs="宋体"/>
                <w:kern w:val="0"/>
                <w:highlight w:val="none"/>
              </w:rPr>
              <w:t>分；</w:t>
            </w:r>
          </w:p>
          <w:p w14:paraId="58F0B012">
            <w:pPr>
              <w:snapToGrid w:val="0"/>
              <w:spacing w:line="400" w:lineRule="exact"/>
              <w:ind w:left="105" w:hanging="105" w:hangingChars="50"/>
              <w:jc w:val="left"/>
              <w:rPr>
                <w:rFonts w:hint="eastAsia" w:ascii="宋体" w:hAnsi="宋体" w:cs="宋体"/>
                <w:kern w:val="0"/>
                <w:highlight w:val="none"/>
              </w:rPr>
            </w:pPr>
            <w:r>
              <w:rPr>
                <w:rFonts w:hint="eastAsia" w:ascii="宋体" w:hAnsi="宋体" w:cs="宋体"/>
                <w:kern w:val="0"/>
                <w:highlight w:val="none"/>
              </w:rPr>
              <w:t>内容存在2处瑕疵的得</w:t>
            </w:r>
            <w:r>
              <w:rPr>
                <w:rFonts w:ascii="宋体" w:hAnsi="宋体" w:cs="宋体"/>
                <w:kern w:val="0"/>
                <w:highlight w:val="none"/>
              </w:rPr>
              <w:t>20</w:t>
            </w:r>
            <w:r>
              <w:rPr>
                <w:rFonts w:hint="eastAsia" w:ascii="宋体" w:hAnsi="宋体" w:cs="宋体"/>
                <w:kern w:val="0"/>
                <w:highlight w:val="none"/>
              </w:rPr>
              <w:t>分；</w:t>
            </w:r>
          </w:p>
          <w:p w14:paraId="72EEEB5E">
            <w:pPr>
              <w:snapToGrid w:val="0"/>
              <w:spacing w:line="400" w:lineRule="exact"/>
              <w:ind w:left="105" w:hanging="105" w:hangingChars="50"/>
              <w:jc w:val="left"/>
              <w:rPr>
                <w:rFonts w:hint="eastAsia" w:ascii="宋体" w:hAnsi="宋体" w:cs="宋体"/>
                <w:kern w:val="0"/>
                <w:highlight w:val="none"/>
              </w:rPr>
            </w:pPr>
            <w:r>
              <w:rPr>
                <w:rFonts w:hint="eastAsia" w:ascii="宋体" w:hAnsi="宋体" w:cs="宋体"/>
                <w:kern w:val="0"/>
                <w:highlight w:val="none"/>
              </w:rPr>
              <w:t>内容存在3处瑕疵的得</w:t>
            </w:r>
            <w:r>
              <w:rPr>
                <w:rFonts w:ascii="宋体" w:hAnsi="宋体" w:cs="宋体"/>
                <w:kern w:val="0"/>
                <w:highlight w:val="none"/>
              </w:rPr>
              <w:t>15</w:t>
            </w:r>
            <w:r>
              <w:rPr>
                <w:rFonts w:hint="eastAsia" w:ascii="宋体" w:hAnsi="宋体" w:cs="宋体"/>
                <w:kern w:val="0"/>
                <w:highlight w:val="none"/>
              </w:rPr>
              <w:t>分；</w:t>
            </w:r>
          </w:p>
          <w:p w14:paraId="1BA27BC0">
            <w:pPr>
              <w:snapToGrid w:val="0"/>
              <w:spacing w:line="400" w:lineRule="exact"/>
              <w:ind w:left="105" w:hanging="105" w:hangingChars="50"/>
              <w:jc w:val="left"/>
              <w:rPr>
                <w:rFonts w:ascii="宋体" w:hAnsi="宋体" w:cs="宋体"/>
                <w:kern w:val="0"/>
                <w:highlight w:val="none"/>
              </w:rPr>
            </w:pPr>
            <w:r>
              <w:rPr>
                <w:rFonts w:hint="eastAsia" w:ascii="宋体" w:hAnsi="宋体" w:cs="宋体"/>
                <w:kern w:val="0"/>
                <w:highlight w:val="none"/>
              </w:rPr>
              <w:t>内容存在4处瑕疵的得</w:t>
            </w:r>
            <w:r>
              <w:rPr>
                <w:rFonts w:ascii="宋体" w:hAnsi="宋体" w:cs="宋体"/>
                <w:kern w:val="0"/>
                <w:highlight w:val="none"/>
              </w:rPr>
              <w:t>10</w:t>
            </w:r>
            <w:r>
              <w:rPr>
                <w:rFonts w:hint="eastAsia" w:ascii="宋体" w:hAnsi="宋体" w:cs="宋体"/>
                <w:kern w:val="0"/>
                <w:highlight w:val="none"/>
              </w:rPr>
              <w:t>分；</w:t>
            </w:r>
          </w:p>
          <w:p w14:paraId="1AA4DBAD">
            <w:pPr>
              <w:spacing w:line="360" w:lineRule="auto"/>
              <w:jc w:val="left"/>
              <w:rPr>
                <w:rFonts w:ascii="宋体" w:hAnsi="宋体" w:cs="宋体"/>
                <w:kern w:val="0"/>
                <w:highlight w:val="none"/>
              </w:rPr>
            </w:pPr>
            <w:r>
              <w:rPr>
                <w:rFonts w:hint="eastAsia" w:ascii="宋体" w:hAnsi="宋体" w:cs="宋体"/>
                <w:kern w:val="0"/>
                <w:highlight w:val="none"/>
              </w:rPr>
              <w:t>内容存在</w:t>
            </w:r>
            <w:r>
              <w:rPr>
                <w:rFonts w:ascii="宋体" w:hAnsi="宋体" w:cs="宋体"/>
                <w:kern w:val="0"/>
                <w:highlight w:val="none"/>
              </w:rPr>
              <w:t>5</w:t>
            </w:r>
            <w:r>
              <w:rPr>
                <w:rFonts w:hint="eastAsia" w:ascii="宋体" w:hAnsi="宋体" w:cs="宋体"/>
                <w:kern w:val="0"/>
                <w:highlight w:val="none"/>
              </w:rPr>
              <w:t>处及以上瑕疵或未提供的，得0分。</w:t>
            </w:r>
          </w:p>
        </w:tc>
      </w:tr>
      <w:tr w14:paraId="02AB9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6" w:hRule="atLeast"/>
          <w:jc w:val="center"/>
        </w:trPr>
        <w:tc>
          <w:tcPr>
            <w:tcW w:w="820" w:type="dxa"/>
            <w:vMerge w:val="restart"/>
            <w:vAlign w:val="center"/>
          </w:tcPr>
          <w:p w14:paraId="7644BB55">
            <w:pPr>
              <w:snapToGrid w:val="0"/>
              <w:spacing w:line="400" w:lineRule="exact"/>
              <w:ind w:left="105" w:hanging="105" w:hangingChars="50"/>
              <w:jc w:val="center"/>
              <w:rPr>
                <w:rFonts w:ascii="宋体" w:hAnsi="宋体" w:cs="宋体"/>
                <w:kern w:val="0"/>
                <w:highlight w:val="none"/>
              </w:rPr>
            </w:pPr>
            <w:r>
              <w:rPr>
                <w:rFonts w:hint="eastAsia" w:ascii="宋体" w:hAnsi="宋体" w:cs="宋体"/>
                <w:kern w:val="0"/>
                <w:highlight w:val="none"/>
              </w:rPr>
              <w:t>2.2.3</w:t>
            </w:r>
          </w:p>
          <w:p w14:paraId="087F73AB">
            <w:pPr>
              <w:snapToGrid w:val="0"/>
              <w:spacing w:line="400" w:lineRule="exact"/>
              <w:ind w:left="105" w:hanging="105" w:hangingChars="50"/>
              <w:jc w:val="center"/>
              <w:rPr>
                <w:rFonts w:ascii="宋体" w:hAnsi="宋体" w:cs="宋体"/>
                <w:kern w:val="0"/>
                <w:highlight w:val="none"/>
              </w:rPr>
            </w:pPr>
            <w:r>
              <w:rPr>
                <w:rFonts w:hint="eastAsia" w:ascii="宋体" w:hAnsi="宋体" w:cs="宋体"/>
                <w:kern w:val="0"/>
                <w:highlight w:val="none"/>
              </w:rPr>
              <w:t>（3）</w:t>
            </w:r>
          </w:p>
        </w:tc>
        <w:tc>
          <w:tcPr>
            <w:tcW w:w="1415" w:type="dxa"/>
            <w:vMerge w:val="restart"/>
            <w:vAlign w:val="center"/>
          </w:tcPr>
          <w:p w14:paraId="213A49AD">
            <w:pPr>
              <w:snapToGrid w:val="0"/>
              <w:spacing w:line="400" w:lineRule="exact"/>
              <w:ind w:left="105" w:hanging="105" w:hangingChars="50"/>
              <w:jc w:val="center"/>
              <w:rPr>
                <w:rFonts w:ascii="宋体" w:hAnsi="宋体" w:cs="宋体"/>
                <w:kern w:val="0"/>
                <w:highlight w:val="none"/>
              </w:rPr>
            </w:pPr>
            <w:r>
              <w:rPr>
                <w:rFonts w:hint="eastAsia" w:ascii="宋体" w:hAnsi="宋体" w:cs="宋体"/>
                <w:kern w:val="0"/>
                <w:highlight w:val="none"/>
              </w:rPr>
              <w:t>商务部分</w:t>
            </w:r>
          </w:p>
          <w:p w14:paraId="33378A14">
            <w:pPr>
              <w:snapToGrid w:val="0"/>
              <w:spacing w:line="400" w:lineRule="exact"/>
              <w:ind w:left="105" w:hanging="105" w:hangingChars="50"/>
              <w:jc w:val="center"/>
              <w:rPr>
                <w:rFonts w:ascii="宋体" w:hAnsi="宋体" w:cs="宋体"/>
                <w:kern w:val="0"/>
                <w:highlight w:val="none"/>
              </w:rPr>
            </w:pPr>
            <w:r>
              <w:rPr>
                <w:rFonts w:hint="eastAsia" w:ascii="宋体" w:hAnsi="宋体" w:cs="宋体"/>
                <w:kern w:val="0"/>
                <w:highlight w:val="none"/>
              </w:rPr>
              <w:t>（</w:t>
            </w:r>
            <w:r>
              <w:rPr>
                <w:rFonts w:ascii="宋体" w:hAnsi="宋体" w:cs="宋体"/>
                <w:kern w:val="0"/>
                <w:highlight w:val="none"/>
              </w:rPr>
              <w:t>25</w:t>
            </w:r>
            <w:r>
              <w:rPr>
                <w:rFonts w:hint="eastAsia" w:ascii="宋体" w:hAnsi="宋体" w:cs="宋体"/>
                <w:kern w:val="0"/>
                <w:highlight w:val="none"/>
              </w:rPr>
              <w:t>分）</w:t>
            </w:r>
          </w:p>
        </w:tc>
        <w:tc>
          <w:tcPr>
            <w:tcW w:w="1753" w:type="dxa"/>
            <w:gridSpan w:val="2"/>
            <w:vAlign w:val="center"/>
          </w:tcPr>
          <w:p w14:paraId="6F77B388">
            <w:pPr>
              <w:snapToGrid w:val="0"/>
              <w:spacing w:line="400" w:lineRule="exact"/>
              <w:ind w:left="105" w:hanging="105" w:hangingChars="50"/>
              <w:jc w:val="center"/>
              <w:rPr>
                <w:rFonts w:ascii="宋体" w:hAnsi="宋体" w:cs="宋体"/>
                <w:kern w:val="0"/>
                <w:highlight w:val="none"/>
              </w:rPr>
            </w:pPr>
            <w:r>
              <w:rPr>
                <w:rFonts w:hint="eastAsia" w:ascii="宋体" w:hAnsi="宋体" w:cs="宋体"/>
                <w:kern w:val="0"/>
                <w:highlight w:val="none"/>
              </w:rPr>
              <w:t>业绩经验</w:t>
            </w:r>
          </w:p>
        </w:tc>
        <w:tc>
          <w:tcPr>
            <w:tcW w:w="5476" w:type="dxa"/>
            <w:vAlign w:val="center"/>
          </w:tcPr>
          <w:p w14:paraId="4FD74ED8">
            <w:pPr>
              <w:spacing w:line="360" w:lineRule="auto"/>
              <w:ind w:firstLine="420" w:firstLineChars="200"/>
              <w:jc w:val="left"/>
              <w:rPr>
                <w:rFonts w:ascii="宋体" w:hAnsi="宋体" w:cs="宋体"/>
                <w:kern w:val="0"/>
                <w:highlight w:val="none"/>
              </w:rPr>
            </w:pPr>
            <w:r>
              <w:rPr>
                <w:rFonts w:hint="eastAsia" w:ascii="宋体" w:hAnsi="宋体" w:cs="宋体"/>
                <w:kern w:val="0"/>
                <w:highlight w:val="none"/>
              </w:rPr>
              <w:t>1.202</w:t>
            </w:r>
            <w:r>
              <w:rPr>
                <w:rFonts w:ascii="宋体" w:hAnsi="宋体" w:cs="宋体"/>
                <w:kern w:val="0"/>
                <w:highlight w:val="none"/>
              </w:rPr>
              <w:t>3</w:t>
            </w:r>
            <w:r>
              <w:rPr>
                <w:rFonts w:hint="eastAsia" w:ascii="宋体" w:hAnsi="宋体" w:cs="宋体"/>
                <w:kern w:val="0"/>
                <w:highlight w:val="none"/>
              </w:rPr>
              <w:t>年1月1日至询比申请截止时间前（以合同签订时间为准），询比申请人每增加1个企业的审计服务相关业绩，得5分，最高得1</w:t>
            </w:r>
            <w:r>
              <w:rPr>
                <w:rFonts w:ascii="宋体" w:hAnsi="宋体" w:cs="宋体"/>
                <w:kern w:val="0"/>
                <w:highlight w:val="none"/>
              </w:rPr>
              <w:t>5</w:t>
            </w:r>
            <w:r>
              <w:rPr>
                <w:rFonts w:hint="eastAsia" w:ascii="宋体" w:hAnsi="宋体" w:cs="宋体"/>
                <w:kern w:val="0"/>
                <w:highlight w:val="none"/>
              </w:rPr>
              <w:t>分。</w:t>
            </w:r>
          </w:p>
          <w:p w14:paraId="62168ABB">
            <w:pPr>
              <w:spacing w:line="360" w:lineRule="auto"/>
              <w:ind w:firstLine="420" w:firstLineChars="200"/>
              <w:jc w:val="left"/>
              <w:rPr>
                <w:rFonts w:ascii="宋体" w:hAnsi="宋体" w:cs="宋体"/>
                <w:kern w:val="0"/>
                <w:highlight w:val="none"/>
              </w:rPr>
            </w:pPr>
            <w:r>
              <w:rPr>
                <w:rFonts w:hint="eastAsia" w:ascii="宋体" w:hAnsi="宋体" w:cs="宋体"/>
                <w:kern w:val="0"/>
                <w:highlight w:val="none"/>
              </w:rPr>
              <w:t>提供：有效合同协议书关键页及盖章复印件并加盖询比申请人单位鲜公章，敏感性内容可以遮挡。</w:t>
            </w:r>
          </w:p>
        </w:tc>
      </w:tr>
      <w:tr w14:paraId="21A31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6" w:hRule="atLeast"/>
          <w:jc w:val="center"/>
        </w:trPr>
        <w:tc>
          <w:tcPr>
            <w:tcW w:w="820" w:type="dxa"/>
            <w:vMerge w:val="continue"/>
            <w:vAlign w:val="center"/>
          </w:tcPr>
          <w:p w14:paraId="6981C7A7">
            <w:pPr>
              <w:snapToGrid w:val="0"/>
              <w:spacing w:line="400" w:lineRule="exact"/>
              <w:ind w:left="105" w:hanging="105" w:hangingChars="50"/>
              <w:jc w:val="center"/>
              <w:rPr>
                <w:rFonts w:hint="eastAsia" w:ascii="宋体" w:hAnsi="宋体" w:cs="宋体"/>
                <w:kern w:val="0"/>
                <w:highlight w:val="none"/>
              </w:rPr>
            </w:pPr>
          </w:p>
        </w:tc>
        <w:tc>
          <w:tcPr>
            <w:tcW w:w="1415" w:type="dxa"/>
            <w:vMerge w:val="continue"/>
            <w:vAlign w:val="center"/>
          </w:tcPr>
          <w:p w14:paraId="655EEAFB">
            <w:pPr>
              <w:snapToGrid w:val="0"/>
              <w:spacing w:line="400" w:lineRule="exact"/>
              <w:ind w:left="105" w:hanging="105" w:hangingChars="50"/>
              <w:jc w:val="center"/>
              <w:rPr>
                <w:rFonts w:hint="eastAsia" w:ascii="宋体" w:hAnsi="宋体" w:cs="宋体"/>
                <w:kern w:val="0"/>
                <w:highlight w:val="none"/>
              </w:rPr>
            </w:pPr>
          </w:p>
        </w:tc>
        <w:tc>
          <w:tcPr>
            <w:tcW w:w="1753" w:type="dxa"/>
            <w:gridSpan w:val="2"/>
            <w:vAlign w:val="center"/>
          </w:tcPr>
          <w:p w14:paraId="51B1B898">
            <w:pPr>
              <w:snapToGrid w:val="0"/>
              <w:spacing w:line="400" w:lineRule="exact"/>
              <w:ind w:left="105" w:hanging="105" w:hangingChars="50"/>
              <w:jc w:val="center"/>
              <w:rPr>
                <w:rFonts w:hint="eastAsia" w:ascii="宋体" w:hAnsi="宋体" w:cs="宋体"/>
                <w:kern w:val="0"/>
                <w:highlight w:val="none"/>
              </w:rPr>
            </w:pPr>
            <w:r>
              <w:rPr>
                <w:rFonts w:hint="eastAsia" w:ascii="宋体" w:hAnsi="宋体" w:cs="宋体"/>
                <w:kern w:val="0"/>
                <w:highlight w:val="none"/>
              </w:rPr>
              <w:t>人员配置</w:t>
            </w:r>
          </w:p>
        </w:tc>
        <w:tc>
          <w:tcPr>
            <w:tcW w:w="5476" w:type="dxa"/>
            <w:vAlign w:val="center"/>
          </w:tcPr>
          <w:p w14:paraId="37395744">
            <w:pPr>
              <w:spacing w:line="360" w:lineRule="auto"/>
              <w:ind w:firstLine="420" w:firstLineChars="200"/>
              <w:jc w:val="left"/>
              <w:rPr>
                <w:rFonts w:ascii="宋体" w:hAnsi="宋体" w:cs="宋体"/>
                <w:kern w:val="0"/>
                <w:highlight w:val="none"/>
              </w:rPr>
            </w:pPr>
            <w:r>
              <w:rPr>
                <w:rFonts w:hint="eastAsia" w:ascii="宋体" w:hAnsi="宋体" w:cs="宋体"/>
                <w:kern w:val="0"/>
                <w:highlight w:val="none"/>
              </w:rPr>
              <w:t>服务团队实力，人员配置是否合理、符合项目实际情况。（0-10分）</w:t>
            </w:r>
          </w:p>
          <w:p w14:paraId="7DE3221B">
            <w:pPr>
              <w:spacing w:line="360" w:lineRule="auto"/>
              <w:ind w:firstLine="420" w:firstLineChars="200"/>
              <w:jc w:val="left"/>
              <w:rPr>
                <w:rFonts w:ascii="宋体" w:hAnsi="宋体" w:cs="宋体"/>
                <w:kern w:val="0"/>
                <w:highlight w:val="none"/>
              </w:rPr>
            </w:pPr>
            <w:r>
              <w:rPr>
                <w:rFonts w:hint="eastAsia" w:ascii="宋体" w:hAnsi="宋体" w:cs="宋体"/>
                <w:kern w:val="0"/>
                <w:highlight w:val="none"/>
              </w:rPr>
              <w:t>1、项目负责人证书（6分）</w:t>
            </w:r>
          </w:p>
          <w:p w14:paraId="3BFE4C74">
            <w:pPr>
              <w:spacing w:line="360" w:lineRule="auto"/>
              <w:ind w:firstLine="420" w:firstLineChars="200"/>
              <w:jc w:val="left"/>
              <w:rPr>
                <w:rFonts w:ascii="宋体" w:hAnsi="宋体" w:cs="宋体"/>
                <w:kern w:val="0"/>
                <w:highlight w:val="none"/>
              </w:rPr>
            </w:pPr>
            <w:r>
              <w:rPr>
                <w:rFonts w:hint="eastAsia" w:ascii="宋体" w:hAnsi="宋体" w:cs="宋体"/>
                <w:kern w:val="0"/>
                <w:highlight w:val="none"/>
              </w:rPr>
              <w:t>（1）项目负责人具备注册会计师执业年限满 5 年（不含）以上得 3 分，最高 3 分</w:t>
            </w:r>
          </w:p>
          <w:p w14:paraId="4AF537C6">
            <w:pPr>
              <w:spacing w:line="360" w:lineRule="auto"/>
              <w:ind w:firstLine="420" w:firstLineChars="200"/>
              <w:jc w:val="left"/>
              <w:rPr>
                <w:rFonts w:ascii="宋体" w:hAnsi="宋体" w:cs="宋体"/>
                <w:kern w:val="0"/>
                <w:highlight w:val="none"/>
              </w:rPr>
            </w:pPr>
            <w:r>
              <w:rPr>
                <w:rFonts w:hint="eastAsia" w:ascii="宋体" w:hAnsi="宋体" w:cs="宋体"/>
                <w:kern w:val="0"/>
                <w:highlight w:val="none"/>
              </w:rPr>
              <w:t>（2）持有高级会计师证书，得 3 分，最高 3 分。</w:t>
            </w:r>
          </w:p>
          <w:p w14:paraId="689FCF54">
            <w:pPr>
              <w:spacing w:line="360" w:lineRule="auto"/>
              <w:ind w:firstLine="420" w:firstLineChars="200"/>
              <w:jc w:val="left"/>
              <w:rPr>
                <w:rFonts w:ascii="宋体" w:hAnsi="宋体" w:cs="宋体"/>
                <w:kern w:val="0"/>
                <w:highlight w:val="none"/>
              </w:rPr>
            </w:pPr>
            <w:r>
              <w:rPr>
                <w:rFonts w:hint="eastAsia" w:ascii="宋体" w:hAnsi="宋体" w:cs="宋体"/>
                <w:kern w:val="0"/>
                <w:highlight w:val="none"/>
              </w:rPr>
              <w:t>2、其他团队人员（不含项目负责人）（4分）（同一人具备多种证书不重复加分。）</w:t>
            </w:r>
          </w:p>
          <w:p w14:paraId="48C21C3B">
            <w:pPr>
              <w:spacing w:line="360" w:lineRule="auto"/>
              <w:ind w:firstLine="420" w:firstLineChars="200"/>
              <w:jc w:val="left"/>
              <w:rPr>
                <w:rFonts w:ascii="宋体" w:hAnsi="宋体" w:cs="宋体"/>
                <w:kern w:val="0"/>
                <w:highlight w:val="none"/>
              </w:rPr>
            </w:pPr>
            <w:r>
              <w:rPr>
                <w:rFonts w:hint="eastAsia" w:ascii="宋体" w:hAnsi="宋体" w:cs="宋体"/>
                <w:kern w:val="0"/>
                <w:highlight w:val="none"/>
              </w:rPr>
              <w:t>（1）团队成员每 1 人持有注册会计师 / 中级会计师证书得 2 分，最高 4 分。</w:t>
            </w:r>
          </w:p>
          <w:p w14:paraId="568C1495">
            <w:pPr>
              <w:spacing w:line="360" w:lineRule="auto"/>
              <w:ind w:firstLine="420" w:firstLineChars="200"/>
              <w:jc w:val="left"/>
              <w:rPr>
                <w:rFonts w:hint="eastAsia" w:ascii="宋体" w:hAnsi="宋体" w:cs="宋体"/>
                <w:kern w:val="0"/>
                <w:highlight w:val="none"/>
              </w:rPr>
            </w:pPr>
            <w:r>
              <w:rPr>
                <w:rFonts w:hint="eastAsia" w:ascii="宋体" w:hAnsi="宋体" w:cs="宋体"/>
                <w:kern w:val="0"/>
                <w:highlight w:val="none"/>
              </w:rPr>
              <w:t>注：执业年限以证书标注注册日期为准。</w:t>
            </w:r>
          </w:p>
        </w:tc>
      </w:tr>
      <w:tr w14:paraId="0F2EA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75" w:hRule="atLeast"/>
          <w:jc w:val="center"/>
        </w:trPr>
        <w:tc>
          <w:tcPr>
            <w:tcW w:w="820" w:type="dxa"/>
            <w:vAlign w:val="center"/>
          </w:tcPr>
          <w:p w14:paraId="38FFD31B">
            <w:pPr>
              <w:snapToGrid w:val="0"/>
              <w:spacing w:line="400" w:lineRule="exact"/>
              <w:ind w:left="105" w:hanging="105" w:hangingChars="50"/>
              <w:jc w:val="center"/>
              <w:rPr>
                <w:rFonts w:ascii="宋体" w:hAnsi="宋体" w:cs="宋体"/>
                <w:kern w:val="0"/>
                <w:highlight w:val="none"/>
              </w:rPr>
            </w:pPr>
            <w:r>
              <w:rPr>
                <w:rFonts w:hint="eastAsia" w:ascii="宋体" w:hAnsi="宋体" w:cs="宋体"/>
                <w:kern w:val="0"/>
                <w:highlight w:val="none"/>
              </w:rPr>
              <w:t>3</w:t>
            </w:r>
          </w:p>
        </w:tc>
        <w:tc>
          <w:tcPr>
            <w:tcW w:w="1415" w:type="dxa"/>
            <w:textDirection w:val="tbRlV"/>
            <w:vAlign w:val="center"/>
          </w:tcPr>
          <w:p w14:paraId="44AB21D3">
            <w:pPr>
              <w:snapToGrid w:val="0"/>
              <w:spacing w:line="400" w:lineRule="exact"/>
              <w:ind w:left="105" w:hanging="105" w:hangingChars="50"/>
              <w:jc w:val="center"/>
              <w:rPr>
                <w:rFonts w:ascii="宋体" w:hAnsi="宋体" w:cs="宋体"/>
                <w:kern w:val="0"/>
                <w:highlight w:val="none"/>
              </w:rPr>
            </w:pPr>
            <w:r>
              <w:rPr>
                <w:rFonts w:hint="eastAsia" w:ascii="宋体" w:hAnsi="宋体" w:cs="宋体"/>
                <w:kern w:val="0"/>
                <w:highlight w:val="none"/>
              </w:rPr>
              <w:t>评审程序</w:t>
            </w:r>
          </w:p>
        </w:tc>
        <w:tc>
          <w:tcPr>
            <w:tcW w:w="7229" w:type="dxa"/>
            <w:gridSpan w:val="3"/>
          </w:tcPr>
          <w:p w14:paraId="0F13BE44">
            <w:pPr>
              <w:spacing w:line="360" w:lineRule="auto"/>
              <w:ind w:firstLine="420" w:firstLineChars="200"/>
              <w:jc w:val="left"/>
              <w:rPr>
                <w:rFonts w:ascii="宋体" w:hAnsi="宋体" w:cs="宋体"/>
                <w:kern w:val="0"/>
                <w:highlight w:val="none"/>
              </w:rPr>
            </w:pPr>
            <w:r>
              <w:rPr>
                <w:rFonts w:hint="eastAsia" w:ascii="宋体" w:hAnsi="宋体" w:cs="宋体"/>
                <w:kern w:val="0"/>
                <w:highlight w:val="none"/>
              </w:rPr>
              <w:t>1.初步评审合格的响应文件进行商务部分、技术部分、响应报价的评分。</w:t>
            </w:r>
          </w:p>
          <w:p w14:paraId="59DC6EAC">
            <w:pPr>
              <w:spacing w:line="360" w:lineRule="auto"/>
              <w:ind w:firstLine="420" w:firstLineChars="200"/>
              <w:jc w:val="left"/>
              <w:rPr>
                <w:rFonts w:ascii="宋体" w:hAnsi="宋体" w:cs="宋体"/>
                <w:kern w:val="0"/>
                <w:highlight w:val="none"/>
              </w:rPr>
            </w:pPr>
            <w:r>
              <w:rPr>
                <w:rFonts w:hint="eastAsia" w:ascii="宋体" w:hAnsi="宋体" w:cs="宋体"/>
                <w:kern w:val="0"/>
                <w:highlight w:val="none"/>
              </w:rPr>
              <w:t>2.根据综合得分由高至低进行排序，推荐1-3家合格的中选候选人。并依次为第一、二、三中选候选人。</w:t>
            </w:r>
          </w:p>
        </w:tc>
      </w:tr>
      <w:tr w14:paraId="01487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4" w:hRule="atLeast"/>
          <w:jc w:val="center"/>
        </w:trPr>
        <w:tc>
          <w:tcPr>
            <w:tcW w:w="820" w:type="dxa"/>
            <w:vAlign w:val="center"/>
          </w:tcPr>
          <w:p w14:paraId="4A562421">
            <w:pPr>
              <w:snapToGrid w:val="0"/>
              <w:spacing w:line="400" w:lineRule="exact"/>
              <w:ind w:left="105" w:hanging="105" w:hangingChars="50"/>
              <w:jc w:val="center"/>
              <w:rPr>
                <w:rFonts w:ascii="宋体" w:hAnsi="宋体" w:cs="宋体"/>
                <w:kern w:val="0"/>
              </w:rPr>
            </w:pPr>
            <w:r>
              <w:rPr>
                <w:rFonts w:hint="eastAsia" w:ascii="宋体" w:hAnsi="宋体" w:cs="宋体"/>
                <w:kern w:val="0"/>
              </w:rPr>
              <w:t>3.2.1（1）</w:t>
            </w:r>
          </w:p>
        </w:tc>
        <w:tc>
          <w:tcPr>
            <w:tcW w:w="1415" w:type="dxa"/>
            <w:vAlign w:val="center"/>
          </w:tcPr>
          <w:p w14:paraId="4CD56968">
            <w:pPr>
              <w:snapToGrid w:val="0"/>
              <w:spacing w:line="400" w:lineRule="exact"/>
              <w:ind w:left="105" w:hanging="105" w:hangingChars="50"/>
              <w:jc w:val="center"/>
              <w:rPr>
                <w:rFonts w:ascii="宋体" w:hAnsi="宋体" w:cs="宋体"/>
                <w:kern w:val="0"/>
              </w:rPr>
            </w:pPr>
            <w:r>
              <w:rPr>
                <w:rFonts w:hint="eastAsia" w:ascii="宋体" w:hAnsi="宋体" w:cs="宋体"/>
                <w:kern w:val="0"/>
              </w:rPr>
              <w:t>响应报价得分（A）</w:t>
            </w:r>
          </w:p>
        </w:tc>
        <w:tc>
          <w:tcPr>
            <w:tcW w:w="7229" w:type="dxa"/>
            <w:gridSpan w:val="3"/>
            <w:vAlign w:val="center"/>
          </w:tcPr>
          <w:p w14:paraId="51871932">
            <w:pPr>
              <w:spacing w:line="360" w:lineRule="auto"/>
              <w:ind w:firstLine="420" w:firstLineChars="200"/>
              <w:jc w:val="left"/>
              <w:rPr>
                <w:rFonts w:ascii="宋体" w:hAnsi="宋体" w:cs="宋体"/>
                <w:kern w:val="0"/>
              </w:rPr>
            </w:pPr>
            <w:r>
              <w:rPr>
                <w:rFonts w:hint="eastAsia" w:ascii="宋体" w:hAnsi="宋体" w:cs="宋体"/>
                <w:kern w:val="0"/>
              </w:rPr>
              <w:t>按2.2.3（1）项各评审因素设定的分值评分。</w:t>
            </w:r>
          </w:p>
        </w:tc>
      </w:tr>
      <w:tr w14:paraId="2E7DF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8" w:hRule="atLeast"/>
          <w:jc w:val="center"/>
        </w:trPr>
        <w:tc>
          <w:tcPr>
            <w:tcW w:w="820" w:type="dxa"/>
            <w:vAlign w:val="center"/>
          </w:tcPr>
          <w:p w14:paraId="422EE157">
            <w:pPr>
              <w:snapToGrid w:val="0"/>
              <w:spacing w:line="400" w:lineRule="exact"/>
              <w:ind w:left="105" w:hanging="105" w:hangingChars="50"/>
              <w:jc w:val="center"/>
              <w:rPr>
                <w:rFonts w:ascii="宋体" w:hAnsi="宋体" w:cs="宋体"/>
                <w:kern w:val="0"/>
              </w:rPr>
            </w:pPr>
            <w:r>
              <w:rPr>
                <w:rFonts w:hint="eastAsia" w:ascii="宋体" w:hAnsi="宋体" w:cs="宋体"/>
                <w:kern w:val="0"/>
              </w:rPr>
              <w:t>3.2.1（2）</w:t>
            </w:r>
          </w:p>
        </w:tc>
        <w:tc>
          <w:tcPr>
            <w:tcW w:w="1415" w:type="dxa"/>
            <w:vAlign w:val="center"/>
          </w:tcPr>
          <w:p w14:paraId="50499785">
            <w:pPr>
              <w:snapToGrid w:val="0"/>
              <w:spacing w:line="400" w:lineRule="exact"/>
              <w:ind w:left="105" w:hanging="105" w:hangingChars="50"/>
              <w:jc w:val="center"/>
              <w:rPr>
                <w:rFonts w:ascii="宋体" w:hAnsi="宋体" w:cs="宋体"/>
                <w:kern w:val="0"/>
              </w:rPr>
            </w:pPr>
            <w:r>
              <w:rPr>
                <w:rFonts w:hint="eastAsia" w:ascii="宋体" w:hAnsi="宋体" w:cs="宋体"/>
                <w:kern w:val="0"/>
              </w:rPr>
              <w:t>技术部分得分（B）</w:t>
            </w:r>
          </w:p>
        </w:tc>
        <w:tc>
          <w:tcPr>
            <w:tcW w:w="7229" w:type="dxa"/>
            <w:gridSpan w:val="3"/>
            <w:vAlign w:val="center"/>
          </w:tcPr>
          <w:p w14:paraId="02E5286E">
            <w:pPr>
              <w:spacing w:line="360" w:lineRule="auto"/>
              <w:ind w:firstLine="420" w:firstLineChars="200"/>
              <w:jc w:val="left"/>
              <w:rPr>
                <w:rFonts w:ascii="宋体" w:hAnsi="宋体" w:cs="宋体"/>
                <w:kern w:val="0"/>
              </w:rPr>
            </w:pPr>
            <w:r>
              <w:rPr>
                <w:rFonts w:hint="eastAsia" w:ascii="宋体" w:hAnsi="宋体" w:cs="宋体"/>
                <w:kern w:val="0"/>
              </w:rPr>
              <w:t>按2.2.3（2）项各评审因素设定的分值评分，技术部分得分取所有评审专家评分的算术平均值，计算得分保留小数点后两位，第三位四舍五入。</w:t>
            </w:r>
          </w:p>
        </w:tc>
      </w:tr>
      <w:tr w14:paraId="21C9D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8" w:hRule="atLeast"/>
          <w:jc w:val="center"/>
        </w:trPr>
        <w:tc>
          <w:tcPr>
            <w:tcW w:w="820" w:type="dxa"/>
            <w:vAlign w:val="center"/>
          </w:tcPr>
          <w:p w14:paraId="6A534044">
            <w:pPr>
              <w:snapToGrid w:val="0"/>
              <w:spacing w:line="400" w:lineRule="exact"/>
              <w:ind w:left="105" w:hanging="105" w:hangingChars="50"/>
              <w:jc w:val="center"/>
              <w:rPr>
                <w:rFonts w:ascii="宋体" w:hAnsi="宋体" w:cs="宋体"/>
                <w:kern w:val="0"/>
              </w:rPr>
            </w:pPr>
            <w:r>
              <w:rPr>
                <w:rFonts w:hint="eastAsia" w:ascii="宋体" w:hAnsi="宋体" w:cs="宋体"/>
                <w:kern w:val="0"/>
              </w:rPr>
              <w:t>3.2.1</w:t>
            </w:r>
          </w:p>
          <w:p w14:paraId="5ECD2E9E">
            <w:pPr>
              <w:snapToGrid w:val="0"/>
              <w:spacing w:line="400" w:lineRule="exact"/>
              <w:ind w:left="105" w:hanging="105" w:hangingChars="50"/>
              <w:jc w:val="center"/>
              <w:rPr>
                <w:rFonts w:ascii="宋体" w:hAnsi="宋体" w:cs="宋体"/>
                <w:kern w:val="0"/>
              </w:rPr>
            </w:pPr>
            <w:r>
              <w:rPr>
                <w:rFonts w:hint="eastAsia" w:ascii="宋体" w:hAnsi="宋体" w:cs="宋体"/>
                <w:kern w:val="0"/>
              </w:rPr>
              <w:t>（3）</w:t>
            </w:r>
          </w:p>
        </w:tc>
        <w:tc>
          <w:tcPr>
            <w:tcW w:w="1415" w:type="dxa"/>
            <w:vAlign w:val="center"/>
          </w:tcPr>
          <w:p w14:paraId="6917C2F2">
            <w:pPr>
              <w:snapToGrid w:val="0"/>
              <w:spacing w:line="400" w:lineRule="exact"/>
              <w:ind w:left="105" w:hanging="105" w:hangingChars="50"/>
              <w:jc w:val="center"/>
              <w:rPr>
                <w:rFonts w:ascii="宋体" w:hAnsi="宋体" w:cs="宋体"/>
                <w:kern w:val="0"/>
              </w:rPr>
            </w:pPr>
            <w:r>
              <w:rPr>
                <w:rFonts w:hint="eastAsia" w:ascii="宋体" w:hAnsi="宋体" w:cs="宋体"/>
                <w:kern w:val="0"/>
              </w:rPr>
              <w:t>商务部分得分（C）</w:t>
            </w:r>
          </w:p>
        </w:tc>
        <w:tc>
          <w:tcPr>
            <w:tcW w:w="7229" w:type="dxa"/>
            <w:gridSpan w:val="3"/>
            <w:vAlign w:val="center"/>
          </w:tcPr>
          <w:p w14:paraId="70C4A5F0">
            <w:pPr>
              <w:spacing w:line="360" w:lineRule="auto"/>
              <w:ind w:firstLine="420" w:firstLineChars="200"/>
              <w:jc w:val="left"/>
              <w:rPr>
                <w:rFonts w:ascii="宋体" w:hAnsi="宋体" w:cs="宋体"/>
                <w:kern w:val="0"/>
              </w:rPr>
            </w:pPr>
            <w:r>
              <w:rPr>
                <w:rFonts w:hint="eastAsia" w:ascii="宋体" w:hAnsi="宋体" w:cs="宋体"/>
                <w:kern w:val="0"/>
              </w:rPr>
              <w:t>按2.2.3（3）项各评审因素设定的分值评分。</w:t>
            </w:r>
          </w:p>
        </w:tc>
      </w:tr>
      <w:tr w14:paraId="73B28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2" w:hRule="atLeast"/>
          <w:jc w:val="center"/>
        </w:trPr>
        <w:tc>
          <w:tcPr>
            <w:tcW w:w="2235" w:type="dxa"/>
            <w:gridSpan w:val="2"/>
            <w:vAlign w:val="center"/>
          </w:tcPr>
          <w:p w14:paraId="618DBEEB">
            <w:pPr>
              <w:snapToGrid w:val="0"/>
              <w:spacing w:line="400" w:lineRule="exact"/>
              <w:ind w:left="105" w:hanging="105" w:hangingChars="50"/>
              <w:jc w:val="center"/>
              <w:rPr>
                <w:rFonts w:ascii="宋体" w:hAnsi="宋体" w:cs="宋体"/>
                <w:kern w:val="0"/>
              </w:rPr>
            </w:pPr>
            <w:r>
              <w:rPr>
                <w:rFonts w:hint="eastAsia" w:ascii="宋体" w:hAnsi="宋体" w:cs="宋体"/>
                <w:kern w:val="0"/>
              </w:rPr>
              <w:t>3.2.2</w:t>
            </w:r>
          </w:p>
        </w:tc>
        <w:tc>
          <w:tcPr>
            <w:tcW w:w="1578" w:type="dxa"/>
            <w:vAlign w:val="center"/>
          </w:tcPr>
          <w:p w14:paraId="2431B111">
            <w:pPr>
              <w:snapToGrid w:val="0"/>
              <w:spacing w:line="400" w:lineRule="exact"/>
              <w:ind w:left="105" w:hanging="105" w:hangingChars="50"/>
              <w:jc w:val="center"/>
              <w:rPr>
                <w:rFonts w:ascii="宋体" w:hAnsi="宋体" w:cs="宋体"/>
                <w:kern w:val="0"/>
              </w:rPr>
            </w:pPr>
            <w:r>
              <w:rPr>
                <w:rFonts w:hint="eastAsia" w:ascii="宋体" w:hAnsi="宋体" w:cs="宋体"/>
                <w:kern w:val="0"/>
              </w:rPr>
              <w:t>询比申请人得分</w:t>
            </w:r>
          </w:p>
        </w:tc>
        <w:tc>
          <w:tcPr>
            <w:tcW w:w="5651" w:type="dxa"/>
            <w:gridSpan w:val="2"/>
            <w:vAlign w:val="center"/>
          </w:tcPr>
          <w:p w14:paraId="3CAF519A">
            <w:pPr>
              <w:spacing w:line="360" w:lineRule="auto"/>
              <w:ind w:firstLine="420" w:firstLineChars="200"/>
              <w:jc w:val="left"/>
              <w:rPr>
                <w:rFonts w:ascii="宋体" w:hAnsi="宋体" w:cs="宋体"/>
                <w:kern w:val="0"/>
              </w:rPr>
            </w:pPr>
            <w:r>
              <w:rPr>
                <w:rFonts w:hint="eastAsia" w:ascii="宋体" w:hAnsi="宋体" w:cs="宋体"/>
                <w:kern w:val="0"/>
              </w:rPr>
              <w:t>询比申请人得分=A+B+C</w:t>
            </w:r>
          </w:p>
        </w:tc>
      </w:tr>
      <w:bookmarkEnd w:id="47"/>
    </w:tbl>
    <w:p w14:paraId="212951A3">
      <w:pPr>
        <w:spacing w:line="360" w:lineRule="auto"/>
        <w:ind w:firstLine="422" w:firstLineChars="200"/>
        <w:rPr>
          <w:rFonts w:ascii="宋体" w:hAnsi="宋体" w:cs="宋体"/>
          <w:b/>
          <w:bCs/>
        </w:rPr>
      </w:pPr>
      <w:r>
        <w:rPr>
          <w:rFonts w:hint="eastAsia" w:ascii="宋体" w:hAnsi="宋体" w:cs="宋体"/>
          <w:b/>
          <w:bCs/>
        </w:rPr>
        <w:t>十、评审结果公示</w:t>
      </w:r>
    </w:p>
    <w:p w14:paraId="56750DD7">
      <w:pPr>
        <w:pStyle w:val="16"/>
        <w:spacing w:line="360" w:lineRule="auto"/>
        <w:ind w:firstLine="420" w:firstLineChars="200"/>
        <w:rPr>
          <w:rFonts w:ascii="宋体" w:hAnsi="宋体" w:cs="宋体"/>
          <w:b/>
          <w:bCs/>
        </w:rPr>
      </w:pPr>
      <w:r>
        <w:rPr>
          <w:rFonts w:hint="eastAsia"/>
        </w:rPr>
        <w:t>本次询比评审结果公示在渝e招阳光智采平台（www.yangguangguoqi.com）上发布</w:t>
      </w:r>
      <w:r>
        <w:rPr>
          <w:rFonts w:hint="eastAsia" w:ascii="宋体" w:hAnsi="宋体" w:cs="宋体"/>
          <w:spacing w:val="-11"/>
        </w:rPr>
        <w:t>，公示期为3日。</w:t>
      </w:r>
    </w:p>
    <w:p w14:paraId="7C0BC3AB">
      <w:pPr>
        <w:spacing w:line="360" w:lineRule="auto"/>
        <w:ind w:firstLine="422" w:firstLineChars="200"/>
        <w:rPr>
          <w:rFonts w:ascii="宋体"/>
          <w:b/>
          <w:bCs/>
        </w:rPr>
      </w:pPr>
      <w:r>
        <w:rPr>
          <w:rFonts w:hint="eastAsia" w:ascii="宋体" w:hAnsi="宋体" w:cs="宋体"/>
          <w:b/>
          <w:bCs/>
        </w:rPr>
        <w:t>十一、确定中选单位、重新选择中选单位说明</w:t>
      </w:r>
    </w:p>
    <w:p w14:paraId="2FA2985A">
      <w:pPr>
        <w:pStyle w:val="16"/>
        <w:spacing w:line="360" w:lineRule="auto"/>
        <w:ind w:firstLine="420" w:firstLineChars="200"/>
        <w:rPr>
          <w:rFonts w:ascii="宋体" w:hAnsi="宋体" w:cs="宋体"/>
        </w:rPr>
      </w:pPr>
      <w:r>
        <w:rPr>
          <w:rFonts w:hint="eastAsia" w:ascii="宋体" w:hAnsi="宋体" w:cs="宋体"/>
        </w:rPr>
        <w:t>1.</w:t>
      </w:r>
      <w:r>
        <w:rPr>
          <w:rFonts w:hint="eastAsia"/>
        </w:rPr>
        <w:t>公示期间无异议的，采购人根据推荐，向中选人发出中选通知书。</w:t>
      </w:r>
    </w:p>
    <w:p w14:paraId="79CE1DCD">
      <w:pPr>
        <w:pStyle w:val="16"/>
        <w:spacing w:line="360" w:lineRule="auto"/>
        <w:ind w:firstLine="420" w:firstLineChars="200"/>
        <w:rPr>
          <w:rFonts w:ascii="宋体" w:hAnsi="宋体" w:cs="宋体"/>
        </w:rPr>
      </w:pPr>
      <w:r>
        <w:rPr>
          <w:rFonts w:hint="eastAsia" w:ascii="宋体" w:hAnsi="宋体" w:cs="宋体"/>
        </w:rPr>
        <w:t>2.</w:t>
      </w:r>
      <w:r>
        <w:rPr>
          <w:rFonts w:hint="eastAsia"/>
        </w:rPr>
        <w:t>在合作期间，若中选单位不能按照询比文件或合同约定履约、自动退出的，采购人将解除合同。同时依法组织重新询比活动。</w:t>
      </w:r>
    </w:p>
    <w:p w14:paraId="321A51A1">
      <w:pPr>
        <w:spacing w:line="360" w:lineRule="auto"/>
        <w:ind w:firstLine="422" w:firstLineChars="200"/>
        <w:rPr>
          <w:rFonts w:ascii="宋体" w:hAnsi="宋体" w:cs="宋体"/>
        </w:rPr>
      </w:pPr>
      <w:r>
        <w:rPr>
          <w:rFonts w:hint="eastAsia" w:ascii="宋体" w:hAnsi="宋体" w:cs="宋体"/>
          <w:b/>
          <w:bCs/>
        </w:rPr>
        <w:t>十二、合同的签订</w:t>
      </w:r>
    </w:p>
    <w:p w14:paraId="079101CA">
      <w:pPr>
        <w:spacing w:line="360" w:lineRule="auto"/>
        <w:ind w:firstLine="420" w:firstLineChars="200"/>
        <w:rPr>
          <w:rFonts w:ascii="宋体"/>
        </w:rPr>
      </w:pPr>
      <w:r>
        <w:rPr>
          <w:rFonts w:hint="eastAsia" w:ascii="宋体" w:hAnsi="宋体" w:cs="宋体"/>
        </w:rPr>
        <w:t>中选人应当自中选通知书签章起</w:t>
      </w:r>
      <w:r>
        <w:rPr>
          <w:rFonts w:hint="eastAsia"/>
        </w:rPr>
        <w:t>20</w:t>
      </w:r>
      <w:r>
        <w:rPr>
          <w:rFonts w:hint="eastAsia" w:ascii="宋体" w:hAnsi="宋体" w:cs="宋体"/>
        </w:rPr>
        <w:t>天内按询比文件合同模板和中选人的响应文件内容与采购人签订书面合同。中选人无正当理由拒签合同的或因中选人原因未在规定时间内签定合同的，采购人取消其中选资格，给采购人造成损失的，中选人还应当予以赔偿。如中选人未签订合同，采购人将依法组织重新询比。</w:t>
      </w:r>
    </w:p>
    <w:p w14:paraId="143BB78D">
      <w:pPr>
        <w:spacing w:line="360" w:lineRule="auto"/>
        <w:ind w:firstLine="422" w:firstLineChars="200"/>
        <w:rPr>
          <w:rFonts w:ascii="宋体"/>
        </w:rPr>
      </w:pPr>
      <w:r>
        <w:rPr>
          <w:rFonts w:hint="eastAsia" w:ascii="宋体" w:hAnsi="宋体" w:cs="宋体"/>
          <w:b/>
          <w:bCs/>
        </w:rPr>
        <w:t>十三、重新询比和不再询比</w:t>
      </w:r>
    </w:p>
    <w:p w14:paraId="66A43921">
      <w:pPr>
        <w:spacing w:line="360" w:lineRule="auto"/>
        <w:ind w:firstLine="420" w:firstLineChars="200"/>
        <w:rPr>
          <w:rFonts w:ascii="宋体"/>
        </w:rPr>
      </w:pPr>
      <w:bookmarkStart w:id="48" w:name="_Toc200513170"/>
      <w:r>
        <w:rPr>
          <w:rFonts w:ascii="宋体" w:hAnsi="宋体" w:cs="宋体"/>
        </w:rPr>
        <w:t>1</w:t>
      </w:r>
      <w:r>
        <w:rPr>
          <w:rFonts w:hint="eastAsia" w:ascii="宋体" w:hAnsi="宋体" w:cs="宋体"/>
        </w:rPr>
        <w:t>、重新</w:t>
      </w:r>
      <w:bookmarkEnd w:id="48"/>
      <w:r>
        <w:rPr>
          <w:rFonts w:hint="eastAsia" w:ascii="宋体" w:hAnsi="宋体" w:cs="宋体"/>
        </w:rPr>
        <w:t>询比</w:t>
      </w:r>
    </w:p>
    <w:p w14:paraId="16F802FB">
      <w:pPr>
        <w:spacing w:line="360" w:lineRule="auto"/>
        <w:ind w:firstLine="420" w:firstLineChars="200"/>
        <w:rPr>
          <w:rFonts w:ascii="宋体"/>
        </w:rPr>
      </w:pPr>
      <w:r>
        <w:rPr>
          <w:rFonts w:hint="eastAsia" w:ascii="宋体" w:hAnsi="宋体" w:cs="宋体"/>
        </w:rPr>
        <w:t>有下列情形之一的，采购人将重新进行询比采购：</w:t>
      </w:r>
    </w:p>
    <w:p w14:paraId="39628170">
      <w:pPr>
        <w:spacing w:line="360" w:lineRule="auto"/>
        <w:ind w:firstLine="420" w:firstLineChars="200"/>
        <w:rPr>
          <w:rFonts w:ascii="宋体"/>
        </w:rPr>
      </w:pPr>
      <w:r>
        <w:rPr>
          <w:rFonts w:hint="eastAsia" w:ascii="宋体" w:hAnsi="宋体" w:cs="宋体"/>
        </w:rPr>
        <w:t>（</w:t>
      </w:r>
      <w:r>
        <w:rPr>
          <w:rFonts w:ascii="宋体" w:hAnsi="宋体" w:cs="宋体"/>
        </w:rPr>
        <w:t>1</w:t>
      </w:r>
      <w:r>
        <w:rPr>
          <w:rFonts w:hint="eastAsia" w:ascii="宋体" w:hAnsi="宋体" w:cs="宋体"/>
        </w:rPr>
        <w:t>）</w:t>
      </w:r>
      <w:bookmarkStart w:id="49" w:name="_Toc200513171"/>
      <w:r>
        <w:rPr>
          <w:rFonts w:hint="eastAsia" w:ascii="宋体" w:hAnsi="宋体" w:cs="宋体"/>
        </w:rPr>
        <w:t>询比截止时间止，询比申请人少于</w:t>
      </w:r>
      <w:r>
        <w:rPr>
          <w:rFonts w:ascii="宋体" w:hAnsi="宋体" w:cs="宋体"/>
        </w:rPr>
        <w:t>3</w:t>
      </w:r>
      <w:r>
        <w:rPr>
          <w:rFonts w:hint="eastAsia" w:ascii="宋体" w:hAnsi="宋体" w:cs="宋体"/>
        </w:rPr>
        <w:t>个的；</w:t>
      </w:r>
    </w:p>
    <w:p w14:paraId="79F12978">
      <w:pPr>
        <w:spacing w:line="360" w:lineRule="auto"/>
        <w:ind w:firstLine="420" w:firstLineChars="200"/>
        <w:rPr>
          <w:rFonts w:ascii="宋体"/>
        </w:rPr>
      </w:pPr>
      <w:r>
        <w:rPr>
          <w:rFonts w:hint="eastAsia" w:ascii="宋体" w:hAnsi="宋体" w:cs="宋体"/>
        </w:rPr>
        <w:t>（</w:t>
      </w:r>
      <w:r>
        <w:rPr>
          <w:rFonts w:ascii="宋体" w:hAnsi="宋体" w:cs="宋体"/>
        </w:rPr>
        <w:t>2</w:t>
      </w:r>
      <w:r>
        <w:rPr>
          <w:rFonts w:hint="eastAsia" w:ascii="宋体" w:hAnsi="宋体" w:cs="宋体"/>
        </w:rPr>
        <w:t>）经评审委员会评审后否决所有询比申请的。</w:t>
      </w:r>
    </w:p>
    <w:p w14:paraId="6FF8225E">
      <w:pPr>
        <w:spacing w:line="360" w:lineRule="auto"/>
        <w:ind w:firstLine="420" w:firstLineChars="200"/>
        <w:rPr>
          <w:rFonts w:ascii="宋体"/>
        </w:rPr>
      </w:pPr>
      <w:r>
        <w:rPr>
          <w:rFonts w:hint="eastAsia" w:ascii="宋体" w:hAnsi="宋体" w:cs="宋体"/>
        </w:rPr>
        <w:t>（</w:t>
      </w:r>
      <w:r>
        <w:rPr>
          <w:rFonts w:ascii="宋体" w:hAnsi="宋体" w:cs="宋体"/>
        </w:rPr>
        <w:t>3</w:t>
      </w:r>
      <w:r>
        <w:rPr>
          <w:rFonts w:hint="eastAsia" w:ascii="宋体" w:hAnsi="宋体" w:cs="宋体"/>
        </w:rPr>
        <w:t>）经评审后，如合格的询比申请人少于三个的，且明显缺乏竞争的，评审委员会可以否决全部询比申请，采购人将重新组织询比；</w:t>
      </w:r>
    </w:p>
    <w:p w14:paraId="20680ABE">
      <w:pPr>
        <w:spacing w:line="360" w:lineRule="auto"/>
        <w:ind w:firstLine="420" w:firstLineChars="200"/>
        <w:rPr>
          <w:rFonts w:ascii="宋体"/>
        </w:rPr>
      </w:pPr>
      <w:r>
        <w:rPr>
          <w:rFonts w:hint="eastAsia" w:ascii="宋体" w:hAnsi="宋体" w:cs="宋体"/>
        </w:rPr>
        <w:t>（</w:t>
      </w:r>
      <w:r>
        <w:rPr>
          <w:rFonts w:ascii="宋体" w:hAnsi="宋体" w:cs="宋体"/>
        </w:rPr>
        <w:t>4</w:t>
      </w:r>
      <w:r>
        <w:rPr>
          <w:rFonts w:hint="eastAsia" w:ascii="宋体" w:hAnsi="宋体" w:cs="宋体"/>
        </w:rPr>
        <w:t>）法律法规规定的其他情形。</w:t>
      </w:r>
      <w:bookmarkEnd w:id="49"/>
    </w:p>
    <w:p w14:paraId="772AFAA0">
      <w:pPr>
        <w:spacing w:line="360" w:lineRule="auto"/>
        <w:ind w:firstLine="420" w:firstLineChars="200"/>
        <w:rPr>
          <w:rFonts w:ascii="宋体"/>
        </w:rPr>
      </w:pPr>
      <w:r>
        <w:rPr>
          <w:rFonts w:ascii="宋体" w:hAnsi="宋体" w:cs="宋体"/>
        </w:rPr>
        <w:t>2</w:t>
      </w:r>
      <w:r>
        <w:rPr>
          <w:rFonts w:hint="eastAsia" w:ascii="宋体" w:hAnsi="宋体" w:cs="宋体"/>
        </w:rPr>
        <w:t>、重新询比和不再询比</w:t>
      </w:r>
    </w:p>
    <w:p w14:paraId="2B1EEC8C">
      <w:pPr>
        <w:spacing w:line="360" w:lineRule="auto"/>
        <w:ind w:firstLine="420" w:firstLineChars="200"/>
        <w:rPr>
          <w:rFonts w:ascii="宋体" w:hAnsi="宋体" w:cs="宋体"/>
        </w:rPr>
      </w:pPr>
      <w:r>
        <w:rPr>
          <w:rFonts w:hint="eastAsia" w:ascii="宋体" w:hAnsi="宋体" w:cs="宋体"/>
        </w:rPr>
        <w:t>重新询比后询比申请人仍少于</w:t>
      </w:r>
      <w:r>
        <w:rPr>
          <w:rFonts w:ascii="宋体" w:hAnsi="宋体" w:cs="宋体"/>
        </w:rPr>
        <w:t>3</w:t>
      </w:r>
      <w:r>
        <w:rPr>
          <w:rFonts w:hint="eastAsia" w:ascii="宋体" w:hAnsi="宋体" w:cs="宋体"/>
        </w:rPr>
        <w:t>个，按法定程序开标和评审，确定中选人。经评审无合格询比申请人，经采购人审批或者核准后不再进行询比。</w:t>
      </w:r>
    </w:p>
    <w:p w14:paraId="665131FE">
      <w:pPr>
        <w:spacing w:line="360" w:lineRule="auto"/>
        <w:ind w:firstLine="422" w:firstLineChars="200"/>
        <w:rPr>
          <w:rFonts w:ascii="宋体" w:hAnsi="宋体" w:cs="宋体"/>
          <w:b/>
          <w:bCs/>
        </w:rPr>
      </w:pPr>
      <w:r>
        <w:rPr>
          <w:rFonts w:hint="eastAsia" w:ascii="宋体" w:hAnsi="宋体" w:cs="宋体"/>
          <w:b/>
          <w:bCs/>
        </w:rPr>
        <w:t>十四、平台服务费</w:t>
      </w:r>
    </w:p>
    <w:p w14:paraId="103946D2">
      <w:pPr>
        <w:pStyle w:val="16"/>
        <w:spacing w:line="360" w:lineRule="auto"/>
        <w:ind w:firstLine="420" w:firstLineChars="200"/>
      </w:pPr>
      <w:r>
        <w:rPr>
          <w:rFonts w:hint="eastAsia"/>
        </w:rPr>
        <w:t>1、中选人须入驻渝e招阳光智采平台（www.yangguangguoqi.com），上架中选产品至商城（上架金额与中选金额一致），并缴纳10000元（大写：壹万元整）交易风险金，交易结束原路退回。</w:t>
      </w:r>
    </w:p>
    <w:p w14:paraId="6543151B">
      <w:pPr>
        <w:pStyle w:val="16"/>
        <w:spacing w:line="360" w:lineRule="auto"/>
        <w:ind w:firstLine="420" w:firstLineChars="200"/>
      </w:pPr>
      <w:r>
        <w:rPr>
          <w:rFonts w:hint="eastAsia"/>
        </w:rPr>
        <w:t>2、中选人应缴纳服务费为中选总金额3%的“渝e招阳光智采平台”平台服务费，此费用询比申请人自行考虑到响应报价中。</w:t>
      </w:r>
    </w:p>
    <w:p w14:paraId="3FE08500">
      <w:pPr>
        <w:pStyle w:val="16"/>
        <w:spacing w:line="360" w:lineRule="auto"/>
        <w:ind w:firstLine="420" w:firstLineChars="200"/>
      </w:pPr>
      <w:r>
        <w:rPr>
          <w:rFonts w:hint="eastAsia"/>
        </w:rPr>
        <w:t>3、渝e招阳光智采平台客服热线：400-967-1198</w:t>
      </w:r>
    </w:p>
    <w:p w14:paraId="53AA0840">
      <w:pPr>
        <w:spacing w:line="360" w:lineRule="auto"/>
        <w:rPr>
          <w:rFonts w:ascii="宋体"/>
        </w:rPr>
      </w:pPr>
    </w:p>
    <w:p w14:paraId="576B83E8">
      <w:pPr>
        <w:spacing w:line="360" w:lineRule="auto"/>
        <w:rPr>
          <w:rFonts w:ascii="宋体"/>
        </w:rPr>
      </w:pPr>
    </w:p>
    <w:p w14:paraId="5B6112FC">
      <w:pPr>
        <w:pStyle w:val="3"/>
      </w:pPr>
    </w:p>
    <w:p w14:paraId="28AD8535"/>
    <w:p w14:paraId="28C49FCC">
      <w:pPr>
        <w:pStyle w:val="2"/>
      </w:pPr>
    </w:p>
    <w:p w14:paraId="70629C4C">
      <w:pPr>
        <w:pStyle w:val="4"/>
        <w:ind w:firstLine="520"/>
      </w:pPr>
    </w:p>
    <w:p w14:paraId="20AB9FA5">
      <w:pPr>
        <w:widowControl/>
        <w:jc w:val="left"/>
        <w:rPr>
          <w:rFonts w:ascii="宋体" w:hAnsi="宋体" w:eastAsia="仿宋_GB2312" w:cs="宋体"/>
          <w:color w:val="000000"/>
          <w:sz w:val="26"/>
          <w:szCs w:val="20"/>
        </w:rPr>
      </w:pPr>
      <w:r>
        <w:br w:type="page"/>
      </w:r>
    </w:p>
    <w:p w14:paraId="1FC7B6FD">
      <w:pPr>
        <w:pStyle w:val="4"/>
        <w:ind w:firstLine="520"/>
        <w:rPr>
          <w:rFonts w:hint="eastAsia"/>
        </w:rPr>
      </w:pPr>
    </w:p>
    <w:p w14:paraId="3B23ED10"/>
    <w:p w14:paraId="24A3F429">
      <w:pPr>
        <w:snapToGrid w:val="0"/>
        <w:spacing w:line="360" w:lineRule="auto"/>
        <w:outlineLvl w:val="0"/>
        <w:rPr>
          <w:rFonts w:ascii="宋体"/>
          <w:b/>
          <w:bCs/>
          <w:sz w:val="28"/>
          <w:szCs w:val="28"/>
        </w:rPr>
      </w:pPr>
      <w:bookmarkStart w:id="50" w:name="_Toc15388"/>
      <w:r>
        <w:rPr>
          <w:rFonts w:hint="eastAsia" w:ascii="宋体" w:hAnsi="宋体" w:cs="宋体"/>
          <w:b/>
          <w:bCs/>
          <w:sz w:val="28"/>
          <w:szCs w:val="28"/>
        </w:rPr>
        <w:t>第三部分 响应文件格式</w:t>
      </w:r>
      <w:bookmarkEnd w:id="50"/>
    </w:p>
    <w:p w14:paraId="5B87D17B">
      <w:pPr>
        <w:snapToGrid w:val="0"/>
        <w:spacing w:line="360" w:lineRule="auto"/>
        <w:rPr>
          <w:rFonts w:ascii="宋体"/>
          <w:sz w:val="28"/>
          <w:szCs w:val="28"/>
        </w:rPr>
      </w:pPr>
      <w:bookmarkStart w:id="51" w:name="_Toc10647"/>
      <w:bookmarkStart w:id="52" w:name="_Toc120633480"/>
      <w:bookmarkStart w:id="53" w:name="_Toc3512"/>
      <w:r>
        <w:rPr>
          <w:rFonts w:ascii="宋体" w:hAnsi="宋体" w:cs="宋体"/>
          <w:b/>
          <w:bCs/>
          <w:sz w:val="28"/>
          <w:szCs w:val="28"/>
        </w:rPr>
        <w:t>(</w:t>
      </w:r>
      <w:r>
        <w:rPr>
          <w:rFonts w:hint="eastAsia" w:ascii="宋体" w:hAnsi="宋体" w:cs="宋体"/>
          <w:b/>
          <w:bCs/>
          <w:sz w:val="28"/>
          <w:szCs w:val="28"/>
        </w:rPr>
        <w:t>正</w:t>
      </w:r>
      <w:r>
        <w:rPr>
          <w:rFonts w:ascii="宋体" w:hAnsi="宋体" w:cs="宋体"/>
          <w:b/>
          <w:bCs/>
          <w:sz w:val="28"/>
          <w:szCs w:val="28"/>
        </w:rPr>
        <w:t>/</w:t>
      </w:r>
      <w:r>
        <w:rPr>
          <w:rFonts w:hint="eastAsia" w:ascii="宋体" w:hAnsi="宋体" w:cs="宋体"/>
          <w:b/>
          <w:bCs/>
          <w:sz w:val="28"/>
          <w:szCs w:val="28"/>
        </w:rPr>
        <w:t>副本</w:t>
      </w:r>
      <w:r>
        <w:rPr>
          <w:rFonts w:ascii="宋体" w:hAnsi="宋体" w:cs="宋体"/>
          <w:b/>
          <w:bCs/>
          <w:sz w:val="28"/>
          <w:szCs w:val="28"/>
        </w:rPr>
        <w:t>)</w:t>
      </w:r>
      <w:bookmarkEnd w:id="51"/>
      <w:bookmarkEnd w:id="52"/>
      <w:bookmarkEnd w:id="53"/>
    </w:p>
    <w:p w14:paraId="4664CC9F">
      <w:pPr>
        <w:spacing w:line="360" w:lineRule="auto"/>
        <w:jc w:val="left"/>
        <w:rPr>
          <w:rFonts w:ascii="宋体"/>
          <w:sz w:val="32"/>
          <w:szCs w:val="32"/>
        </w:rPr>
      </w:pPr>
    </w:p>
    <w:p w14:paraId="3828B8A7">
      <w:pPr>
        <w:spacing w:line="360" w:lineRule="auto"/>
        <w:jc w:val="left"/>
        <w:rPr>
          <w:rFonts w:ascii="宋体"/>
          <w:sz w:val="32"/>
          <w:szCs w:val="32"/>
        </w:rPr>
      </w:pPr>
    </w:p>
    <w:p w14:paraId="404B9BCD">
      <w:pPr>
        <w:spacing w:line="360" w:lineRule="auto"/>
        <w:jc w:val="left"/>
        <w:rPr>
          <w:rFonts w:ascii="宋体"/>
          <w:sz w:val="28"/>
          <w:szCs w:val="28"/>
        </w:rPr>
      </w:pPr>
    </w:p>
    <w:p w14:paraId="3274720B">
      <w:pPr>
        <w:spacing w:line="360" w:lineRule="auto"/>
        <w:jc w:val="center"/>
        <w:rPr>
          <w:rFonts w:ascii="宋体"/>
          <w:sz w:val="28"/>
          <w:szCs w:val="28"/>
        </w:rPr>
      </w:pPr>
      <w:r>
        <w:rPr>
          <w:rFonts w:hint="eastAsia" w:ascii="宋体" w:hAnsi="宋体" w:cs="宋体"/>
          <w:b/>
          <w:bCs/>
          <w:sz w:val="72"/>
          <w:szCs w:val="72"/>
        </w:rPr>
        <w:t>响应文件</w:t>
      </w:r>
    </w:p>
    <w:p w14:paraId="7FCBBDC8">
      <w:pPr>
        <w:spacing w:line="360" w:lineRule="auto"/>
        <w:jc w:val="left"/>
        <w:rPr>
          <w:rFonts w:ascii="宋体"/>
          <w:sz w:val="28"/>
          <w:szCs w:val="28"/>
        </w:rPr>
      </w:pPr>
    </w:p>
    <w:p w14:paraId="1904CFFC">
      <w:pPr>
        <w:spacing w:line="360" w:lineRule="auto"/>
        <w:jc w:val="left"/>
        <w:rPr>
          <w:rFonts w:ascii="宋体"/>
          <w:sz w:val="28"/>
          <w:szCs w:val="28"/>
        </w:rPr>
      </w:pPr>
    </w:p>
    <w:p w14:paraId="50E7C98C">
      <w:pPr>
        <w:spacing w:line="360" w:lineRule="auto"/>
        <w:jc w:val="left"/>
        <w:rPr>
          <w:rFonts w:ascii="宋体"/>
          <w:sz w:val="28"/>
          <w:szCs w:val="28"/>
        </w:rPr>
      </w:pPr>
    </w:p>
    <w:p w14:paraId="7E651815">
      <w:pPr>
        <w:spacing w:line="360" w:lineRule="auto"/>
        <w:jc w:val="left"/>
        <w:rPr>
          <w:rFonts w:ascii="宋体"/>
          <w:sz w:val="28"/>
          <w:szCs w:val="28"/>
        </w:rPr>
      </w:pPr>
    </w:p>
    <w:p w14:paraId="63618BDC">
      <w:pPr>
        <w:spacing w:line="360" w:lineRule="auto"/>
        <w:jc w:val="left"/>
        <w:rPr>
          <w:rFonts w:ascii="宋体"/>
          <w:sz w:val="28"/>
          <w:szCs w:val="28"/>
        </w:rPr>
      </w:pPr>
    </w:p>
    <w:p w14:paraId="75AEF12F">
      <w:pPr>
        <w:spacing w:line="360" w:lineRule="auto"/>
        <w:jc w:val="left"/>
        <w:rPr>
          <w:rFonts w:ascii="宋体"/>
          <w:sz w:val="28"/>
          <w:szCs w:val="28"/>
        </w:rPr>
      </w:pPr>
    </w:p>
    <w:p w14:paraId="5F7875A5">
      <w:pPr>
        <w:spacing w:line="360" w:lineRule="auto"/>
        <w:ind w:firstLine="1120" w:firstLineChars="400"/>
        <w:rPr>
          <w:rFonts w:ascii="宋体"/>
          <w:sz w:val="28"/>
          <w:szCs w:val="28"/>
          <w:u w:val="single"/>
        </w:rPr>
      </w:pPr>
      <w:bookmarkStart w:id="54" w:name="_Toc120633482"/>
      <w:bookmarkStart w:id="55" w:name="_Toc15178"/>
      <w:bookmarkStart w:id="56" w:name="_Toc19213"/>
      <w:r>
        <w:rPr>
          <w:rFonts w:hint="eastAsia" w:ascii="宋体" w:hAnsi="宋体" w:cs="宋体"/>
          <w:sz w:val="28"/>
          <w:szCs w:val="28"/>
        </w:rPr>
        <w:t>项目名称：</w:t>
      </w:r>
      <w:bookmarkEnd w:id="54"/>
      <w:bookmarkEnd w:id="55"/>
      <w:bookmarkEnd w:id="56"/>
    </w:p>
    <w:p w14:paraId="33152FDE">
      <w:pPr>
        <w:spacing w:line="360" w:lineRule="auto"/>
        <w:ind w:firstLine="1120" w:firstLineChars="400"/>
        <w:rPr>
          <w:rFonts w:ascii="宋体"/>
          <w:sz w:val="28"/>
          <w:szCs w:val="28"/>
          <w:u w:val="single"/>
        </w:rPr>
      </w:pPr>
    </w:p>
    <w:p w14:paraId="05CB2653">
      <w:pPr>
        <w:spacing w:line="360" w:lineRule="auto"/>
        <w:ind w:firstLine="1120" w:firstLineChars="400"/>
        <w:rPr>
          <w:rFonts w:ascii="宋体"/>
          <w:sz w:val="28"/>
          <w:szCs w:val="28"/>
          <w:u w:val="single"/>
        </w:rPr>
      </w:pPr>
      <w:bookmarkStart w:id="57" w:name="_Toc120633483"/>
      <w:bookmarkStart w:id="58" w:name="_Toc17622"/>
      <w:bookmarkStart w:id="59" w:name="_Toc21195"/>
      <w:r>
        <w:rPr>
          <w:rFonts w:hint="eastAsia" w:ascii="宋体" w:hAnsi="宋体" w:cs="宋体"/>
          <w:sz w:val="28"/>
          <w:szCs w:val="28"/>
        </w:rPr>
        <w:t>询比申请人</w:t>
      </w:r>
      <w:r>
        <w:rPr>
          <w:rFonts w:ascii="宋体" w:hAnsi="宋体" w:cs="宋体"/>
          <w:sz w:val="28"/>
          <w:szCs w:val="28"/>
        </w:rPr>
        <w:t>:</w:t>
      </w:r>
      <w:r>
        <w:rPr>
          <w:rFonts w:hint="eastAsia" w:ascii="宋体" w:hAnsi="宋体" w:cs="宋体"/>
          <w:sz w:val="28"/>
          <w:szCs w:val="28"/>
          <w:u w:val="single"/>
        </w:rPr>
        <w:t>（盖章）</w:t>
      </w:r>
      <w:bookmarkEnd w:id="57"/>
      <w:bookmarkEnd w:id="58"/>
      <w:bookmarkEnd w:id="59"/>
    </w:p>
    <w:p w14:paraId="7827216C">
      <w:pPr>
        <w:spacing w:line="360" w:lineRule="auto"/>
        <w:ind w:firstLine="1120" w:firstLineChars="400"/>
        <w:rPr>
          <w:rFonts w:ascii="宋体"/>
          <w:sz w:val="28"/>
          <w:szCs w:val="28"/>
          <w:u w:val="single"/>
        </w:rPr>
      </w:pPr>
    </w:p>
    <w:p w14:paraId="0336508E">
      <w:pPr>
        <w:spacing w:line="360" w:lineRule="auto"/>
        <w:ind w:firstLine="1120" w:firstLineChars="400"/>
        <w:jc w:val="left"/>
        <w:rPr>
          <w:rFonts w:ascii="宋体"/>
          <w:sz w:val="28"/>
          <w:szCs w:val="28"/>
          <w:u w:val="single"/>
        </w:rPr>
      </w:pPr>
      <w:bookmarkStart w:id="60" w:name="_Toc120633484"/>
      <w:bookmarkStart w:id="61" w:name="_Toc20741"/>
      <w:bookmarkStart w:id="62" w:name="_Toc21790"/>
      <w:r>
        <w:rPr>
          <w:rFonts w:hint="eastAsia" w:ascii="宋体" w:hAnsi="宋体" w:cs="宋体"/>
          <w:sz w:val="28"/>
          <w:szCs w:val="28"/>
        </w:rPr>
        <w:t>法定代表人或其委托代理人</w:t>
      </w:r>
      <w:r>
        <w:rPr>
          <w:rFonts w:ascii="宋体" w:hAnsi="宋体" w:cs="宋体"/>
          <w:sz w:val="28"/>
          <w:szCs w:val="28"/>
        </w:rPr>
        <w:t>:</w:t>
      </w:r>
      <w:r>
        <w:rPr>
          <w:rFonts w:hint="eastAsia" w:ascii="宋体" w:hAnsi="宋体" w:cs="宋体"/>
          <w:sz w:val="28"/>
          <w:szCs w:val="28"/>
          <w:u w:val="single"/>
        </w:rPr>
        <w:t>　　　　　（签名或盖章）</w:t>
      </w:r>
      <w:bookmarkEnd w:id="60"/>
      <w:bookmarkEnd w:id="61"/>
      <w:bookmarkEnd w:id="62"/>
    </w:p>
    <w:p w14:paraId="54A55473">
      <w:pPr>
        <w:spacing w:line="360" w:lineRule="auto"/>
        <w:ind w:firstLine="1120" w:firstLineChars="400"/>
        <w:jc w:val="left"/>
        <w:rPr>
          <w:rFonts w:ascii="宋体"/>
          <w:sz w:val="28"/>
          <w:szCs w:val="28"/>
        </w:rPr>
      </w:pPr>
    </w:p>
    <w:p w14:paraId="2B20C705">
      <w:pPr>
        <w:spacing w:line="360" w:lineRule="auto"/>
        <w:ind w:firstLine="1120" w:firstLineChars="400"/>
        <w:rPr>
          <w:rFonts w:ascii="宋体"/>
          <w:sz w:val="28"/>
          <w:szCs w:val="28"/>
          <w:u w:val="single"/>
        </w:rPr>
      </w:pPr>
      <w:bookmarkStart w:id="63" w:name="_Toc2482"/>
      <w:bookmarkStart w:id="64" w:name="_Toc627"/>
      <w:bookmarkStart w:id="65" w:name="_Toc120633485"/>
      <w:r>
        <w:rPr>
          <w:rFonts w:hint="eastAsia" w:ascii="宋体" w:hAnsi="宋体" w:cs="宋体"/>
          <w:sz w:val="28"/>
          <w:szCs w:val="28"/>
        </w:rPr>
        <w:t>地址：</w:t>
      </w:r>
      <w:bookmarkEnd w:id="63"/>
      <w:bookmarkEnd w:id="64"/>
      <w:bookmarkEnd w:id="65"/>
    </w:p>
    <w:p w14:paraId="7BC05659">
      <w:pPr>
        <w:spacing w:line="360" w:lineRule="auto"/>
        <w:ind w:firstLine="1120" w:firstLineChars="400"/>
        <w:rPr>
          <w:rFonts w:ascii="宋体"/>
          <w:sz w:val="28"/>
          <w:szCs w:val="28"/>
          <w:u w:val="single"/>
        </w:rPr>
      </w:pPr>
    </w:p>
    <w:p w14:paraId="677096A8">
      <w:pPr>
        <w:snapToGrid w:val="0"/>
        <w:spacing w:line="360" w:lineRule="auto"/>
        <w:ind w:firstLine="1184" w:firstLineChars="423"/>
        <w:rPr>
          <w:rFonts w:ascii="宋体" w:hAnsi="宋体"/>
          <w:b/>
          <w:sz w:val="36"/>
          <w:szCs w:val="36"/>
        </w:rPr>
      </w:pPr>
      <w:bookmarkStart w:id="66" w:name="_Toc120633486"/>
      <w:bookmarkStart w:id="67" w:name="_Toc237"/>
      <w:bookmarkStart w:id="68" w:name="_Toc6842"/>
      <w:r>
        <w:rPr>
          <w:rFonts w:hint="eastAsia" w:ascii="宋体" w:hAnsi="宋体" w:cs="宋体"/>
          <w:sz w:val="28"/>
          <w:szCs w:val="28"/>
        </w:rPr>
        <w:t>日期： 年  月  日</w:t>
      </w:r>
      <w:bookmarkEnd w:id="66"/>
      <w:r>
        <w:rPr>
          <w:rFonts w:ascii="宋体"/>
          <w:b/>
          <w:bCs/>
        </w:rPr>
        <w:br w:type="page"/>
      </w:r>
      <w:bookmarkEnd w:id="67"/>
      <w:bookmarkEnd w:id="68"/>
      <w:bookmarkStart w:id="69" w:name="_Toc14319"/>
      <w:bookmarkStart w:id="70" w:name="_Toc534185832"/>
      <w:bookmarkStart w:id="71" w:name="_Toc509218855"/>
      <w:bookmarkStart w:id="72" w:name="_Toc219178931"/>
    </w:p>
    <w:p w14:paraId="37AEA1F9">
      <w:pPr>
        <w:spacing w:line="520" w:lineRule="exact"/>
        <w:jc w:val="center"/>
        <w:rPr>
          <w:b/>
          <w:snapToGrid w:val="0"/>
        </w:rPr>
      </w:pPr>
      <w:r>
        <w:rPr>
          <w:rFonts w:hint="eastAsia" w:ascii="宋体" w:hAnsi="宋体"/>
          <w:b/>
          <w:sz w:val="36"/>
          <w:szCs w:val="36"/>
        </w:rPr>
        <w:t>询比申请函</w:t>
      </w:r>
    </w:p>
    <w:p w14:paraId="445A8283">
      <w:pPr>
        <w:spacing w:line="360" w:lineRule="auto"/>
        <w:ind w:firstLine="420" w:firstLineChars="200"/>
        <w:rPr>
          <w:rFonts w:ascii="宋体" w:hAnsi="宋体"/>
          <w:highlight w:val="none"/>
        </w:rPr>
      </w:pPr>
      <w:r>
        <w:rPr>
          <w:rFonts w:hint="eastAsia" w:ascii="宋体" w:hAnsi="宋体"/>
        </w:rPr>
        <w:t>致：（采购人名称）</w:t>
      </w:r>
    </w:p>
    <w:p w14:paraId="5FEED4C4">
      <w:pPr>
        <w:spacing w:line="360" w:lineRule="auto"/>
        <w:ind w:firstLine="420" w:firstLineChars="200"/>
        <w:rPr>
          <w:rFonts w:ascii="宋体" w:hAnsi="宋体"/>
          <w:u w:val="single"/>
        </w:rPr>
      </w:pPr>
      <w:r>
        <w:rPr>
          <w:rFonts w:hint="eastAsia" w:ascii="宋体" w:hAnsi="宋体"/>
          <w:highlight w:val="none"/>
        </w:rPr>
        <w:t>1.我们已经仔细地研究了</w:t>
      </w:r>
      <w:r>
        <w:rPr>
          <w:rFonts w:hint="eastAsia" w:ascii="宋体" w:hAnsi="宋体"/>
          <w:highlight w:val="none"/>
          <w:u w:val="single"/>
          <w:lang w:eastAsia="zh-CN"/>
        </w:rPr>
        <w:t>重庆市工程管理有限公司审计服务采购（第二次）</w:t>
      </w:r>
      <w:r>
        <w:rPr>
          <w:rFonts w:hint="eastAsia" w:ascii="宋体" w:hAnsi="宋体"/>
          <w:highlight w:val="none"/>
          <w:u w:val="single"/>
        </w:rPr>
        <w:t>（项目名称）</w:t>
      </w:r>
      <w:r>
        <w:rPr>
          <w:rFonts w:hint="eastAsia" w:ascii="宋体" w:hAnsi="宋体"/>
          <w:highlight w:val="none"/>
        </w:rPr>
        <w:t>的全部内容，包括但不限于询比文件、合同条款以及全部答疑补遗和澄清文件。我们已了解全部询比文件，并完全理解了询比文件规定的</w:t>
      </w:r>
      <w:r>
        <w:rPr>
          <w:rFonts w:hint="eastAsia" w:ascii="宋体" w:hAnsi="宋体"/>
          <w:highlight w:val="none"/>
          <w:u w:val="single"/>
          <w:lang w:eastAsia="zh-CN"/>
        </w:rPr>
        <w:t>重庆市工程管理有限公司审计服务采购（第二次）</w:t>
      </w:r>
      <w:r>
        <w:rPr>
          <w:rFonts w:hint="eastAsia" w:ascii="宋体" w:hAnsi="宋体"/>
          <w:highlight w:val="none"/>
          <w:u w:val="single"/>
        </w:rPr>
        <w:t>（项</w:t>
      </w:r>
      <w:r>
        <w:rPr>
          <w:rFonts w:hint="eastAsia" w:ascii="宋体" w:hAnsi="宋体"/>
          <w:u w:val="single"/>
        </w:rPr>
        <w:t>目名称）</w:t>
      </w:r>
      <w:r>
        <w:rPr>
          <w:rFonts w:hint="eastAsia" w:ascii="宋体" w:hAnsi="宋体"/>
        </w:rPr>
        <w:t>的合同范围、工作要求，并考虑到了潜在所有风险。据此，我们承诺</w:t>
      </w:r>
      <w:r>
        <w:rPr>
          <w:rFonts w:hint="eastAsia" w:ascii="宋体"/>
        </w:rPr>
        <w:t>所递交的响应文件资料内容完整、真实和准确，且完全响应采购人发布的询比文件、限价及合同条款等附件中的所有内容，不存在弄虚作假情形，</w:t>
      </w:r>
      <w:r>
        <w:rPr>
          <w:rFonts w:hint="eastAsia" w:ascii="宋体" w:hAnsi="宋体" w:cs="宋体"/>
          <w:kern w:val="0"/>
        </w:rPr>
        <w:t>响应文件不附有采购人不能接受的条件</w:t>
      </w:r>
      <w:r>
        <w:rPr>
          <w:rFonts w:hint="eastAsia" w:ascii="宋体" w:hAnsi="宋体"/>
        </w:rPr>
        <w:t>。</w:t>
      </w:r>
    </w:p>
    <w:p w14:paraId="504B136A">
      <w:pPr>
        <w:snapToGrid w:val="0"/>
        <w:spacing w:line="520" w:lineRule="exact"/>
        <w:rPr>
          <w:rFonts w:ascii="宋体" w:hAnsi="宋体"/>
        </w:rPr>
      </w:pPr>
      <w:r>
        <w:rPr>
          <w:rFonts w:hint="eastAsia" w:ascii="宋体" w:hAnsi="宋体"/>
        </w:rPr>
        <w:t xml:space="preserve">    2.据此，我方承诺本项目响应报价为：</w:t>
      </w:r>
      <w:r>
        <w:rPr>
          <w:rFonts w:hint="eastAsia" w:ascii="宋体" w:hAnsi="宋体"/>
          <w:u w:val="single"/>
        </w:rPr>
        <w:t xml:space="preserve">       元，（大写：     ）</w:t>
      </w:r>
      <w:r>
        <w:rPr>
          <w:rFonts w:hint="eastAsia" w:ascii="宋体" w:hAnsi="宋体"/>
        </w:rPr>
        <w:t>。（报价保留小数点后两位）。服务期：</w:t>
      </w:r>
      <w:r>
        <w:rPr>
          <w:rFonts w:hint="eastAsia" w:ascii="宋体" w:hAnsi="宋体"/>
          <w:u w:val="single"/>
        </w:rPr>
        <w:t>满足询比文件要求</w:t>
      </w:r>
      <w:r>
        <w:rPr>
          <w:rFonts w:hint="eastAsia" w:ascii="宋体" w:hAnsi="宋体"/>
        </w:rPr>
        <w:t>。</w:t>
      </w:r>
    </w:p>
    <w:p w14:paraId="4D933F63">
      <w:pPr>
        <w:snapToGrid w:val="0"/>
        <w:spacing w:line="520" w:lineRule="exact"/>
        <w:ind w:firstLine="420" w:firstLineChars="200"/>
        <w:rPr>
          <w:rFonts w:ascii="宋体" w:hAnsi="宋体"/>
        </w:rPr>
      </w:pPr>
      <w:r>
        <w:rPr>
          <w:rFonts w:hint="eastAsia" w:ascii="宋体" w:hAnsi="宋体"/>
        </w:rPr>
        <w:t>3.我们同意在从规定的递交响应文件截止之日起到询比有效期满前遵守本响应文件。且本响应文件一直对我们具有约束力，并可随时被接受中选。</w:t>
      </w:r>
    </w:p>
    <w:p w14:paraId="58461690">
      <w:pPr>
        <w:snapToGrid w:val="0"/>
        <w:spacing w:line="520" w:lineRule="exact"/>
        <w:ind w:firstLine="420" w:firstLineChars="200"/>
        <w:rPr>
          <w:rFonts w:ascii="宋体" w:hAnsi="宋体"/>
        </w:rPr>
      </w:pPr>
      <w:r>
        <w:rPr>
          <w:rFonts w:hint="eastAsia" w:ascii="宋体" w:hAnsi="宋体"/>
        </w:rPr>
        <w:t>4.我司符合“合同条款”规定，响应文件未附有采购人不能接受的条件。</w:t>
      </w:r>
    </w:p>
    <w:p w14:paraId="7A3FBAE7">
      <w:pPr>
        <w:snapToGrid w:val="0"/>
        <w:spacing w:line="520" w:lineRule="exact"/>
        <w:ind w:firstLine="420" w:firstLineChars="200"/>
        <w:rPr>
          <w:rFonts w:ascii="宋体" w:hAnsi="宋体"/>
        </w:rPr>
      </w:pPr>
      <w:r>
        <w:rPr>
          <w:rFonts w:hint="eastAsia" w:ascii="宋体" w:hAnsi="宋体"/>
        </w:rPr>
        <w:t>5.如果我们中选，我们将及时签定本项目合同。</w:t>
      </w:r>
    </w:p>
    <w:p w14:paraId="46602FF4">
      <w:pPr>
        <w:snapToGrid w:val="0"/>
        <w:spacing w:line="520" w:lineRule="exact"/>
        <w:ind w:firstLine="420" w:firstLineChars="200"/>
        <w:rPr>
          <w:rFonts w:ascii="宋体" w:hAnsi="宋体" w:cs="MingLiU"/>
          <w:snapToGrid w:val="0"/>
        </w:rPr>
      </w:pPr>
      <w:r>
        <w:rPr>
          <w:rFonts w:hint="eastAsia" w:ascii="宋体" w:hAnsi="宋体"/>
        </w:rPr>
        <w:t>6.在制定和签署一份正式协议书之前，本响应文件连同你方的书面中选通知，构成在我们双方之间有约束力的合同。</w:t>
      </w:r>
    </w:p>
    <w:p w14:paraId="512F1E54">
      <w:pPr>
        <w:tabs>
          <w:tab w:val="left" w:pos="8300"/>
        </w:tabs>
        <w:autoSpaceDE w:val="0"/>
        <w:autoSpaceDN w:val="0"/>
        <w:adjustRightInd w:val="0"/>
        <w:snapToGrid w:val="0"/>
        <w:spacing w:line="520" w:lineRule="exact"/>
        <w:ind w:right="-20" w:firstLine="3570" w:firstLineChars="1700"/>
        <w:rPr>
          <w:rFonts w:ascii="宋体" w:hAnsi="宋体" w:cs="MingLiU"/>
          <w:snapToGrid w:val="0"/>
        </w:rPr>
      </w:pPr>
    </w:p>
    <w:p w14:paraId="1C4C5F42">
      <w:pPr>
        <w:tabs>
          <w:tab w:val="left" w:pos="8300"/>
        </w:tabs>
        <w:autoSpaceDE w:val="0"/>
        <w:autoSpaceDN w:val="0"/>
        <w:adjustRightInd w:val="0"/>
        <w:snapToGrid w:val="0"/>
        <w:spacing w:line="520" w:lineRule="exact"/>
        <w:ind w:right="-20" w:firstLine="3570" w:firstLineChars="1700"/>
        <w:rPr>
          <w:rFonts w:ascii="宋体" w:hAnsi="宋体" w:cs="MingLiU"/>
          <w:snapToGrid w:val="0"/>
        </w:rPr>
      </w:pPr>
    </w:p>
    <w:p w14:paraId="0C964A89">
      <w:pPr>
        <w:tabs>
          <w:tab w:val="left" w:pos="8300"/>
        </w:tabs>
        <w:autoSpaceDE w:val="0"/>
        <w:autoSpaceDN w:val="0"/>
        <w:adjustRightInd w:val="0"/>
        <w:snapToGrid w:val="0"/>
        <w:spacing w:line="520" w:lineRule="exact"/>
        <w:ind w:right="-20" w:firstLine="3570" w:firstLineChars="1700"/>
        <w:rPr>
          <w:rFonts w:ascii="宋体" w:hAnsi="宋体" w:cs="MingLiU"/>
          <w:snapToGrid w:val="0"/>
        </w:rPr>
      </w:pPr>
    </w:p>
    <w:p w14:paraId="0529E901">
      <w:pPr>
        <w:tabs>
          <w:tab w:val="left" w:pos="8300"/>
        </w:tabs>
        <w:autoSpaceDE w:val="0"/>
        <w:autoSpaceDN w:val="0"/>
        <w:adjustRightInd w:val="0"/>
        <w:snapToGrid w:val="0"/>
        <w:spacing w:line="520" w:lineRule="exact"/>
        <w:ind w:right="-20" w:firstLine="3570" w:firstLineChars="1700"/>
        <w:rPr>
          <w:rFonts w:ascii="宋体" w:hAnsi="宋体" w:cs="MingLiU"/>
          <w:snapToGrid w:val="0"/>
          <w:u w:val="single"/>
        </w:rPr>
      </w:pPr>
      <w:r>
        <w:rPr>
          <w:rFonts w:hint="eastAsia" w:ascii="宋体" w:hAnsi="宋体" w:cs="MingLiU"/>
          <w:snapToGrid w:val="0"/>
          <w:u w:val="single"/>
        </w:rPr>
        <w:t xml:space="preserve">询比申请人：（盖章）         </w:t>
      </w:r>
    </w:p>
    <w:p w14:paraId="417004D1">
      <w:pPr>
        <w:tabs>
          <w:tab w:val="left" w:pos="8300"/>
        </w:tabs>
        <w:autoSpaceDE w:val="0"/>
        <w:autoSpaceDN w:val="0"/>
        <w:adjustRightInd w:val="0"/>
        <w:snapToGrid w:val="0"/>
        <w:spacing w:line="520" w:lineRule="exact"/>
        <w:ind w:right="-20" w:firstLine="3570" w:firstLineChars="1700"/>
        <w:rPr>
          <w:rFonts w:ascii="宋体" w:hAnsi="宋体" w:cs="MingLiU"/>
          <w:snapToGrid w:val="0"/>
          <w:u w:val="single"/>
        </w:rPr>
      </w:pPr>
      <w:r>
        <w:rPr>
          <w:rFonts w:hint="eastAsia" w:ascii="宋体" w:hAnsi="宋体" w:cs="MingLiU"/>
          <w:snapToGrid w:val="0"/>
          <w:u w:val="single"/>
        </w:rPr>
        <w:t>法定代表人或授权代表签字：（签名或盖章）</w:t>
      </w:r>
    </w:p>
    <w:p w14:paraId="4ECE2B23">
      <w:pPr>
        <w:spacing w:line="520" w:lineRule="exact"/>
        <w:ind w:firstLine="5670" w:firstLineChars="2700"/>
        <w:rPr>
          <w:rFonts w:ascii="宋体" w:hAnsi="宋体" w:cs="MingLiU"/>
          <w:snapToGrid w:val="0"/>
          <w:u w:val="single"/>
        </w:rPr>
      </w:pPr>
      <w:r>
        <w:rPr>
          <w:rFonts w:hint="eastAsia" w:ascii="宋体" w:hAnsi="宋体" w:cs="MingLiU"/>
          <w:snapToGrid w:val="0"/>
          <w:u w:val="single"/>
        </w:rPr>
        <w:t xml:space="preserve">     年   月   日</w:t>
      </w:r>
    </w:p>
    <w:p w14:paraId="4BC42CFC">
      <w:pPr>
        <w:spacing w:line="360" w:lineRule="auto"/>
        <w:rPr>
          <w:rFonts w:ascii="华文细黑" w:hAnsi="华文细黑" w:eastAsia="华文细黑" w:cs="华文细黑"/>
          <w:sz w:val="24"/>
        </w:rPr>
      </w:pPr>
    </w:p>
    <w:p w14:paraId="330363A5">
      <w:pPr>
        <w:pStyle w:val="23"/>
        <w:ind w:firstLine="480"/>
        <w:rPr>
          <w:rFonts w:ascii="华文细黑" w:hAnsi="华文细黑" w:eastAsia="华文细黑" w:cs="华文细黑"/>
          <w:sz w:val="24"/>
        </w:rPr>
      </w:pPr>
    </w:p>
    <w:p w14:paraId="6E8FAE43">
      <w:pPr>
        <w:pStyle w:val="23"/>
        <w:ind w:firstLine="480"/>
        <w:rPr>
          <w:rFonts w:ascii="华文细黑" w:hAnsi="华文细黑" w:eastAsia="华文细黑" w:cs="华文细黑"/>
          <w:sz w:val="24"/>
        </w:rPr>
      </w:pPr>
    </w:p>
    <w:p w14:paraId="7A674E34">
      <w:pPr>
        <w:pStyle w:val="23"/>
        <w:ind w:firstLine="480"/>
        <w:rPr>
          <w:rFonts w:hint="eastAsia" w:ascii="华文细黑" w:hAnsi="华文细黑" w:eastAsia="华文细黑" w:cs="华文细黑"/>
          <w:sz w:val="24"/>
        </w:rPr>
      </w:pPr>
    </w:p>
    <w:bookmarkEnd w:id="69"/>
    <w:bookmarkEnd w:id="70"/>
    <w:bookmarkEnd w:id="71"/>
    <w:p w14:paraId="54A27BF4">
      <w:pPr>
        <w:spacing w:line="360" w:lineRule="auto"/>
        <w:rPr>
          <w:rFonts w:ascii="宋体"/>
        </w:rPr>
      </w:pPr>
    </w:p>
    <w:p w14:paraId="6EAA6093">
      <w:pPr>
        <w:pStyle w:val="2"/>
        <w:ind w:firstLine="0"/>
      </w:pPr>
    </w:p>
    <w:p w14:paraId="3BBAA42A">
      <w:pPr>
        <w:pStyle w:val="2"/>
        <w:ind w:firstLine="0"/>
      </w:pPr>
    </w:p>
    <w:p w14:paraId="151A404C">
      <w:pPr>
        <w:spacing w:line="360" w:lineRule="auto"/>
        <w:ind w:firstLine="472" w:firstLineChars="224"/>
        <w:jc w:val="center"/>
        <w:rPr>
          <w:rFonts w:ascii="宋体"/>
          <w:b/>
          <w:bCs/>
        </w:rPr>
      </w:pPr>
      <w:bookmarkStart w:id="73" w:name="_Toc120633487"/>
      <w:bookmarkStart w:id="74" w:name="_Toc14571"/>
      <w:bookmarkStart w:id="75" w:name="_Toc13388"/>
      <w:r>
        <w:rPr>
          <w:rFonts w:hint="eastAsia" w:ascii="宋体" w:hAnsi="宋体" w:cs="宋体"/>
          <w:b/>
          <w:bCs/>
        </w:rPr>
        <w:t>法定代表人授权委托书</w:t>
      </w:r>
      <w:bookmarkEnd w:id="72"/>
      <w:bookmarkEnd w:id="73"/>
      <w:bookmarkEnd w:id="74"/>
      <w:bookmarkEnd w:id="75"/>
    </w:p>
    <w:p w14:paraId="0DDD15B6">
      <w:pPr>
        <w:spacing w:line="360" w:lineRule="auto"/>
        <w:ind w:firstLine="470" w:firstLineChars="224"/>
        <w:rPr>
          <w:rFonts w:ascii="宋体"/>
        </w:rPr>
      </w:pPr>
    </w:p>
    <w:p w14:paraId="07EE974E">
      <w:pPr>
        <w:pStyle w:val="12"/>
        <w:spacing w:line="360" w:lineRule="auto"/>
        <w:ind w:left="0" w:leftChars="0" w:firstLine="470" w:firstLineChars="224"/>
        <w:rPr>
          <w:rFonts w:ascii="宋体"/>
        </w:rPr>
      </w:pPr>
      <w:r>
        <w:rPr>
          <w:rFonts w:hint="eastAsia" w:ascii="宋体" w:hAnsi="宋体" w:cs="宋体"/>
        </w:rPr>
        <w:t>本授权委托书声明：我（姓名）系（参选单位名称）的法定代表人，现授权委托（单位名称）的（姓名）为我公司唯一代理人，以本公司的名义参加（采购人名称、项目名称）的询比活动。代理人在询比采购、合同签订过程中所签署的一切文件和处理与之有关的一切事务，我均予以承认。</w:t>
      </w:r>
    </w:p>
    <w:p w14:paraId="5811BD0C">
      <w:pPr>
        <w:pStyle w:val="12"/>
        <w:spacing w:line="360" w:lineRule="auto"/>
        <w:ind w:left="0" w:leftChars="0" w:firstLine="470" w:firstLineChars="224"/>
        <w:rPr>
          <w:rFonts w:ascii="宋体"/>
        </w:rPr>
      </w:pPr>
      <w:r>
        <w:rPr>
          <w:rFonts w:hint="eastAsia" w:ascii="宋体" w:hAnsi="宋体" w:cs="宋体"/>
        </w:rPr>
        <w:t>代理人无转委权。特此委托。</w:t>
      </w:r>
    </w:p>
    <w:p w14:paraId="50F1D5A7">
      <w:pPr>
        <w:pStyle w:val="12"/>
        <w:spacing w:line="360" w:lineRule="auto"/>
        <w:ind w:left="0" w:leftChars="0" w:firstLine="470" w:firstLineChars="224"/>
        <w:rPr>
          <w:rFonts w:ascii="宋体"/>
        </w:rPr>
      </w:pPr>
      <w:r>
        <w:rPr>
          <w:rFonts w:hint="eastAsia" w:ascii="宋体" w:hAnsi="宋体" w:cs="宋体"/>
        </w:rPr>
        <w:t>（附法定代表人身份证明）</w:t>
      </w:r>
    </w:p>
    <w:p w14:paraId="679387BB">
      <w:pPr>
        <w:pStyle w:val="3"/>
        <w:spacing w:line="360" w:lineRule="auto"/>
        <w:ind w:firstLine="470" w:firstLineChars="224"/>
        <w:rPr>
          <w:rFonts w:cs="Times New Roman"/>
          <w:sz w:val="21"/>
          <w:szCs w:val="21"/>
        </w:rPr>
      </w:pPr>
    </w:p>
    <w:p w14:paraId="0739AF00">
      <w:pPr>
        <w:pStyle w:val="3"/>
        <w:spacing w:line="360" w:lineRule="auto"/>
        <w:ind w:firstLine="470" w:firstLineChars="224"/>
        <w:rPr>
          <w:rFonts w:cs="Times New Roman"/>
          <w:sz w:val="21"/>
          <w:szCs w:val="21"/>
        </w:rPr>
      </w:pPr>
      <w:r>
        <w:rPr>
          <w:rFonts w:hint="eastAsia"/>
          <w:sz w:val="21"/>
          <w:szCs w:val="21"/>
        </w:rPr>
        <w:t>代理人：性别：年龄：</w:t>
      </w:r>
    </w:p>
    <w:p w14:paraId="0347A9C6">
      <w:pPr>
        <w:pStyle w:val="3"/>
        <w:spacing w:line="360" w:lineRule="auto"/>
        <w:ind w:firstLine="470" w:firstLineChars="224"/>
        <w:rPr>
          <w:rFonts w:cs="Times New Roman"/>
          <w:sz w:val="21"/>
          <w:szCs w:val="21"/>
        </w:rPr>
      </w:pPr>
    </w:p>
    <w:p w14:paraId="51B2FBA5">
      <w:pPr>
        <w:pStyle w:val="3"/>
        <w:spacing w:line="360" w:lineRule="auto"/>
        <w:ind w:firstLine="470" w:firstLineChars="224"/>
        <w:rPr>
          <w:rFonts w:cs="Times New Roman"/>
          <w:sz w:val="21"/>
          <w:szCs w:val="21"/>
        </w:rPr>
      </w:pPr>
      <w:r>
        <w:rPr>
          <w:rFonts w:hint="eastAsia"/>
          <w:sz w:val="21"/>
          <w:szCs w:val="21"/>
        </w:rPr>
        <w:t>单位：部门：职务：</w:t>
      </w:r>
    </w:p>
    <w:p w14:paraId="5766D9F6">
      <w:pPr>
        <w:pStyle w:val="3"/>
        <w:spacing w:line="360" w:lineRule="auto"/>
        <w:ind w:firstLine="470" w:firstLineChars="224"/>
        <w:rPr>
          <w:rFonts w:cs="Times New Roman"/>
          <w:sz w:val="21"/>
          <w:szCs w:val="21"/>
        </w:rPr>
      </w:pPr>
    </w:p>
    <w:p w14:paraId="69FE42D5">
      <w:pPr>
        <w:pStyle w:val="3"/>
        <w:spacing w:line="360" w:lineRule="auto"/>
        <w:ind w:firstLine="470" w:firstLineChars="224"/>
        <w:rPr>
          <w:rFonts w:cs="Times New Roman"/>
          <w:sz w:val="21"/>
          <w:szCs w:val="21"/>
        </w:rPr>
      </w:pPr>
      <w:r>
        <w:rPr>
          <w:rFonts w:hint="eastAsia"/>
          <w:sz w:val="21"/>
          <w:szCs w:val="21"/>
        </w:rPr>
        <w:t>询比申请人：（盖章）</w:t>
      </w:r>
    </w:p>
    <w:p w14:paraId="5DBF56D2">
      <w:pPr>
        <w:pStyle w:val="3"/>
        <w:spacing w:line="360" w:lineRule="auto"/>
        <w:ind w:firstLine="470" w:firstLineChars="224"/>
        <w:rPr>
          <w:rFonts w:cs="Times New Roman"/>
          <w:sz w:val="21"/>
          <w:szCs w:val="21"/>
        </w:rPr>
      </w:pPr>
    </w:p>
    <w:p w14:paraId="49ABC2A4">
      <w:pPr>
        <w:pStyle w:val="3"/>
        <w:spacing w:line="360" w:lineRule="auto"/>
        <w:ind w:firstLine="470" w:firstLineChars="224"/>
        <w:rPr>
          <w:rFonts w:cs="Times New Roman"/>
          <w:sz w:val="21"/>
          <w:szCs w:val="21"/>
        </w:rPr>
      </w:pPr>
      <w:r>
        <w:rPr>
          <w:rFonts w:hint="eastAsia"/>
          <w:sz w:val="21"/>
          <w:szCs w:val="21"/>
        </w:rPr>
        <w:t>法定代表人：（签名或盖章）</w:t>
      </w:r>
    </w:p>
    <w:p w14:paraId="4473070A">
      <w:pPr>
        <w:pStyle w:val="52"/>
        <w:spacing w:beforeLines="0" w:afterLines="0" w:line="360" w:lineRule="auto"/>
        <w:ind w:firstLine="470" w:firstLineChars="224"/>
        <w:rPr>
          <w:rFonts w:ascii="宋体" w:hAnsi="宋体" w:eastAsia="宋体"/>
          <w:sz w:val="21"/>
          <w:szCs w:val="21"/>
        </w:rPr>
      </w:pPr>
    </w:p>
    <w:p w14:paraId="3506562E">
      <w:pPr>
        <w:pStyle w:val="52"/>
        <w:spacing w:beforeLines="0" w:afterLines="0" w:line="360" w:lineRule="auto"/>
        <w:ind w:right="480" w:firstLine="470" w:firstLineChars="224"/>
        <w:jc w:val="right"/>
        <w:rPr>
          <w:rFonts w:ascii="宋体" w:hAnsi="宋体" w:eastAsia="宋体"/>
          <w:sz w:val="21"/>
          <w:szCs w:val="21"/>
        </w:rPr>
      </w:pPr>
      <w:r>
        <w:rPr>
          <w:rFonts w:hint="eastAsia" w:ascii="宋体" w:hAnsi="宋体" w:eastAsia="宋体" w:cs="宋体"/>
          <w:sz w:val="21"/>
          <w:szCs w:val="21"/>
        </w:rPr>
        <w:t>日期：年月 日</w:t>
      </w:r>
    </w:p>
    <w:p w14:paraId="7825AE64">
      <w:pPr>
        <w:spacing w:line="360" w:lineRule="auto"/>
        <w:rPr>
          <w:rFonts w:ascii="宋体"/>
        </w:rPr>
      </w:pPr>
    </w:p>
    <w:p w14:paraId="62512963">
      <w:pPr>
        <w:spacing w:line="360" w:lineRule="auto"/>
        <w:ind w:firstLine="470" w:firstLineChars="224"/>
        <w:rPr>
          <w:rFonts w:ascii="宋体"/>
        </w:rPr>
      </w:pPr>
      <w:r>
        <w:rPr>
          <w:rFonts w:hint="eastAsia" w:ascii="宋体" w:hAnsi="宋体" w:cs="宋体"/>
        </w:rPr>
        <w:t>（该处粘贴代理人身份证复印件）</w:t>
      </w:r>
    </w:p>
    <w:p w14:paraId="19D419DE">
      <w:pPr>
        <w:spacing w:line="360" w:lineRule="auto"/>
        <w:ind w:firstLine="472" w:firstLineChars="224"/>
        <w:jc w:val="center"/>
        <w:rPr>
          <w:rFonts w:ascii="宋体"/>
          <w:b/>
          <w:bCs/>
        </w:rPr>
      </w:pPr>
    </w:p>
    <w:p w14:paraId="1535D367">
      <w:pPr>
        <w:spacing w:line="360" w:lineRule="auto"/>
        <w:rPr>
          <w:rFonts w:ascii="宋体"/>
          <w:b/>
          <w:bCs/>
        </w:rPr>
      </w:pPr>
    </w:p>
    <w:p w14:paraId="004F2C90">
      <w:pPr>
        <w:spacing w:line="360" w:lineRule="auto"/>
        <w:rPr>
          <w:rFonts w:ascii="宋体"/>
          <w:b/>
          <w:bCs/>
        </w:rPr>
      </w:pPr>
    </w:p>
    <w:p w14:paraId="760B10C6">
      <w:pPr>
        <w:spacing w:line="360" w:lineRule="auto"/>
        <w:rPr>
          <w:rFonts w:ascii="宋体"/>
          <w:b/>
          <w:bCs/>
        </w:rPr>
      </w:pPr>
    </w:p>
    <w:p w14:paraId="4493A102">
      <w:pPr>
        <w:spacing w:line="360" w:lineRule="auto"/>
        <w:rPr>
          <w:rFonts w:ascii="宋体"/>
          <w:b/>
          <w:bCs/>
        </w:rPr>
      </w:pPr>
      <w:r>
        <w:rPr>
          <w:rFonts w:hint="eastAsia" w:ascii="宋体"/>
          <w:b/>
          <w:bCs/>
        </w:rPr>
        <w:t>注：1、法定代表人参与响应活动并签署文件的不需要授权委托书，只需要提供法定代表人身份证明；非法定代表人参加响应活动机签署文件的除提供法定代表人身份证外还须提供授权委托书。</w:t>
      </w:r>
    </w:p>
    <w:p w14:paraId="165E048F">
      <w:pPr>
        <w:spacing w:line="360" w:lineRule="auto"/>
        <w:rPr>
          <w:rFonts w:ascii="宋体"/>
          <w:b/>
          <w:bCs/>
        </w:rPr>
      </w:pPr>
      <w:r>
        <w:rPr>
          <w:rFonts w:hint="eastAsia" w:ascii="宋体"/>
          <w:b/>
          <w:bCs/>
        </w:rPr>
        <w:t>2、法定代表人身份证明及授权委托书原件装入响应文件一并递交。</w:t>
      </w:r>
    </w:p>
    <w:p w14:paraId="059861C4">
      <w:pPr>
        <w:spacing w:line="360" w:lineRule="auto"/>
        <w:rPr>
          <w:rFonts w:ascii="宋体"/>
          <w:b/>
          <w:bCs/>
        </w:rPr>
      </w:pPr>
      <w:r>
        <w:rPr>
          <w:rFonts w:hint="eastAsia" w:ascii="宋体"/>
          <w:b/>
          <w:bCs/>
        </w:rPr>
        <w:t>3、授权委托书需按上述格式填写完整，不可缺少内容。在此基础上增加内容的不影响其有效性。</w:t>
      </w:r>
      <w:r>
        <w:rPr>
          <w:rFonts w:ascii="宋体"/>
          <w:b/>
          <w:bCs/>
        </w:rPr>
        <w:br w:type="page"/>
      </w:r>
      <w:bookmarkStart w:id="76" w:name="_Toc13788"/>
      <w:bookmarkStart w:id="77" w:name="_Toc120633488"/>
      <w:bookmarkStart w:id="78" w:name="_Toc11989"/>
      <w:r>
        <w:rPr>
          <w:rFonts w:hint="eastAsia" w:ascii="宋体" w:hAnsi="宋体" w:cs="宋体"/>
          <w:b/>
          <w:bCs/>
        </w:rPr>
        <w:t>法定代表人身份证明</w:t>
      </w:r>
      <w:bookmarkEnd w:id="76"/>
      <w:bookmarkEnd w:id="77"/>
      <w:bookmarkEnd w:id="78"/>
    </w:p>
    <w:p w14:paraId="0D026C05">
      <w:pPr>
        <w:spacing w:line="360" w:lineRule="auto"/>
        <w:ind w:left="765"/>
        <w:rPr>
          <w:rFonts w:ascii="宋体"/>
        </w:rPr>
      </w:pPr>
    </w:p>
    <w:p w14:paraId="044A810A">
      <w:pPr>
        <w:tabs>
          <w:tab w:val="left" w:pos="5565"/>
        </w:tabs>
        <w:autoSpaceDE w:val="0"/>
        <w:autoSpaceDN w:val="0"/>
        <w:adjustRightInd w:val="0"/>
        <w:snapToGrid w:val="0"/>
        <w:spacing w:line="360" w:lineRule="auto"/>
        <w:ind w:firstLine="390" w:firstLineChars="186"/>
        <w:jc w:val="left"/>
        <w:rPr>
          <w:rFonts w:ascii="宋体"/>
          <w:kern w:val="0"/>
        </w:rPr>
      </w:pPr>
      <w:r>
        <w:rPr>
          <w:rFonts w:hint="eastAsia" w:ascii="宋体" w:hAnsi="宋体" w:cs="宋体"/>
          <w:kern w:val="0"/>
        </w:rPr>
        <w:t>询比申请人名称：</w:t>
      </w:r>
      <w:r>
        <w:rPr>
          <w:rFonts w:ascii="宋体"/>
          <w:kern w:val="0"/>
          <w:u w:val="single"/>
        </w:rPr>
        <w:tab/>
      </w:r>
    </w:p>
    <w:p w14:paraId="5004C698">
      <w:pPr>
        <w:tabs>
          <w:tab w:val="left" w:pos="5475"/>
        </w:tabs>
        <w:autoSpaceDE w:val="0"/>
        <w:autoSpaceDN w:val="0"/>
        <w:adjustRightInd w:val="0"/>
        <w:snapToGrid w:val="0"/>
        <w:spacing w:line="360" w:lineRule="auto"/>
        <w:ind w:firstLine="390" w:firstLineChars="186"/>
        <w:jc w:val="left"/>
        <w:rPr>
          <w:rFonts w:ascii="宋体"/>
          <w:kern w:val="0"/>
        </w:rPr>
      </w:pPr>
      <w:r>
        <w:rPr>
          <w:rFonts w:hint="eastAsia" w:ascii="宋体" w:hAnsi="宋体" w:cs="宋体"/>
          <w:kern w:val="0"/>
        </w:rPr>
        <w:t>单位性质：</w:t>
      </w:r>
      <w:r>
        <w:rPr>
          <w:rFonts w:ascii="宋体"/>
          <w:kern w:val="0"/>
          <w:u w:val="single"/>
        </w:rPr>
        <w:tab/>
      </w:r>
    </w:p>
    <w:p w14:paraId="7BA55108">
      <w:pPr>
        <w:tabs>
          <w:tab w:val="left" w:pos="5475"/>
        </w:tabs>
        <w:autoSpaceDE w:val="0"/>
        <w:autoSpaceDN w:val="0"/>
        <w:adjustRightInd w:val="0"/>
        <w:snapToGrid w:val="0"/>
        <w:spacing w:line="360" w:lineRule="auto"/>
        <w:ind w:firstLine="390" w:firstLineChars="186"/>
        <w:jc w:val="left"/>
        <w:rPr>
          <w:rFonts w:ascii="宋体"/>
          <w:kern w:val="0"/>
        </w:rPr>
      </w:pPr>
      <w:r>
        <w:rPr>
          <w:rFonts w:hint="eastAsia" w:ascii="宋体" w:hAnsi="宋体" w:cs="宋体"/>
          <w:kern w:val="0"/>
        </w:rPr>
        <w:t>地址：</w:t>
      </w:r>
      <w:r>
        <w:rPr>
          <w:rFonts w:ascii="宋体"/>
          <w:kern w:val="0"/>
          <w:u w:val="single"/>
        </w:rPr>
        <w:tab/>
      </w:r>
    </w:p>
    <w:p w14:paraId="7A81E476">
      <w:pPr>
        <w:tabs>
          <w:tab w:val="left" w:pos="2520"/>
          <w:tab w:val="left" w:pos="3836"/>
        </w:tabs>
        <w:autoSpaceDE w:val="0"/>
        <w:autoSpaceDN w:val="0"/>
        <w:adjustRightInd w:val="0"/>
        <w:snapToGrid w:val="0"/>
        <w:spacing w:line="360" w:lineRule="auto"/>
        <w:ind w:firstLine="390" w:firstLineChars="186"/>
        <w:jc w:val="left"/>
        <w:rPr>
          <w:rFonts w:ascii="宋体"/>
          <w:kern w:val="0"/>
        </w:rPr>
      </w:pPr>
      <w:r>
        <w:rPr>
          <w:rFonts w:hint="eastAsia" w:ascii="宋体" w:hAnsi="宋体" w:cs="宋体"/>
          <w:kern w:val="0"/>
        </w:rPr>
        <w:t>成立时间：</w:t>
      </w:r>
      <w:r>
        <w:rPr>
          <w:rFonts w:ascii="宋体"/>
          <w:kern w:val="0"/>
          <w:u w:val="single"/>
        </w:rPr>
        <w:tab/>
      </w:r>
      <w:r>
        <w:rPr>
          <w:rFonts w:hint="eastAsia" w:ascii="宋体" w:hAnsi="宋体" w:cs="宋体"/>
          <w:spacing w:val="-1"/>
          <w:kern w:val="0"/>
        </w:rPr>
        <w:t>年</w:t>
      </w:r>
      <w:r>
        <w:rPr>
          <w:rFonts w:ascii="宋体"/>
          <w:kern w:val="0"/>
          <w:u w:val="single"/>
        </w:rPr>
        <w:tab/>
      </w:r>
      <w:r>
        <w:rPr>
          <w:rFonts w:hint="eastAsia" w:ascii="宋体" w:hAnsi="宋体" w:cs="宋体"/>
          <w:spacing w:val="-1"/>
          <w:kern w:val="0"/>
        </w:rPr>
        <w:t>月</w:t>
      </w:r>
      <w:r>
        <w:rPr>
          <w:rFonts w:hint="eastAsia" w:ascii="宋体" w:hAnsi="宋体" w:cs="宋体"/>
          <w:kern w:val="0"/>
        </w:rPr>
        <w:t>日</w:t>
      </w:r>
    </w:p>
    <w:p w14:paraId="75E459DA">
      <w:pPr>
        <w:tabs>
          <w:tab w:val="left" w:pos="5475"/>
        </w:tabs>
        <w:autoSpaceDE w:val="0"/>
        <w:autoSpaceDN w:val="0"/>
        <w:adjustRightInd w:val="0"/>
        <w:snapToGrid w:val="0"/>
        <w:spacing w:line="360" w:lineRule="auto"/>
        <w:ind w:firstLine="390" w:firstLineChars="186"/>
        <w:jc w:val="left"/>
        <w:rPr>
          <w:rFonts w:ascii="宋体"/>
          <w:kern w:val="0"/>
        </w:rPr>
      </w:pPr>
      <w:r>
        <w:rPr>
          <w:rFonts w:hint="eastAsia" w:ascii="宋体" w:hAnsi="宋体" w:cs="宋体"/>
          <w:kern w:val="0"/>
        </w:rPr>
        <w:t>经营期限：</w:t>
      </w:r>
      <w:r>
        <w:rPr>
          <w:rFonts w:ascii="宋体"/>
          <w:kern w:val="0"/>
          <w:u w:val="single"/>
        </w:rPr>
        <w:tab/>
      </w:r>
    </w:p>
    <w:p w14:paraId="4D8D9B81">
      <w:pPr>
        <w:tabs>
          <w:tab w:val="left" w:pos="1580"/>
          <w:tab w:val="left" w:pos="3260"/>
          <w:tab w:val="left" w:pos="4840"/>
          <w:tab w:val="left" w:pos="6300"/>
        </w:tabs>
        <w:autoSpaceDE w:val="0"/>
        <w:autoSpaceDN w:val="0"/>
        <w:adjustRightInd w:val="0"/>
        <w:snapToGrid w:val="0"/>
        <w:spacing w:line="360" w:lineRule="auto"/>
        <w:ind w:firstLine="390" w:firstLineChars="186"/>
        <w:jc w:val="left"/>
        <w:rPr>
          <w:rFonts w:ascii="宋体"/>
          <w:kern w:val="0"/>
        </w:rPr>
      </w:pPr>
      <w:r>
        <w:rPr>
          <w:rFonts w:hint="eastAsia" w:ascii="宋体" w:hAnsi="宋体" w:cs="宋体"/>
          <w:kern w:val="0"/>
        </w:rPr>
        <w:t>姓名：</w:t>
      </w:r>
      <w:r>
        <w:rPr>
          <w:rFonts w:ascii="宋体"/>
          <w:kern w:val="0"/>
          <w:u w:val="single"/>
        </w:rPr>
        <w:tab/>
      </w:r>
      <w:r>
        <w:rPr>
          <w:rFonts w:hint="eastAsia" w:ascii="宋体" w:hAnsi="宋体" w:cs="宋体"/>
          <w:kern w:val="0"/>
        </w:rPr>
        <w:t>性别</w:t>
      </w:r>
      <w:r>
        <w:rPr>
          <w:rFonts w:hint="eastAsia" w:ascii="宋体" w:hAnsi="宋体" w:cs="宋体"/>
          <w:spacing w:val="-1"/>
          <w:kern w:val="0"/>
        </w:rPr>
        <w:t>：</w:t>
      </w:r>
      <w:r>
        <w:rPr>
          <w:rFonts w:ascii="宋体"/>
          <w:kern w:val="0"/>
          <w:u w:val="single"/>
        </w:rPr>
        <w:tab/>
      </w:r>
      <w:r>
        <w:rPr>
          <w:rFonts w:hint="eastAsia" w:ascii="宋体" w:hAnsi="宋体" w:cs="宋体"/>
          <w:spacing w:val="-1"/>
          <w:kern w:val="0"/>
        </w:rPr>
        <w:t>年</w:t>
      </w:r>
      <w:r>
        <w:rPr>
          <w:rFonts w:hint="eastAsia" w:ascii="宋体" w:hAnsi="宋体" w:cs="宋体"/>
          <w:kern w:val="0"/>
        </w:rPr>
        <w:t>龄：</w:t>
      </w:r>
      <w:r>
        <w:rPr>
          <w:rFonts w:ascii="宋体"/>
          <w:kern w:val="0"/>
          <w:u w:val="single"/>
        </w:rPr>
        <w:tab/>
      </w:r>
      <w:r>
        <w:rPr>
          <w:rFonts w:hint="eastAsia" w:ascii="宋体" w:hAnsi="宋体" w:cs="宋体"/>
          <w:kern w:val="0"/>
        </w:rPr>
        <w:t>职务：</w:t>
      </w:r>
      <w:r>
        <w:rPr>
          <w:rFonts w:ascii="宋体"/>
          <w:kern w:val="0"/>
          <w:u w:val="single"/>
        </w:rPr>
        <w:tab/>
      </w:r>
    </w:p>
    <w:p w14:paraId="13D9EEAA">
      <w:pPr>
        <w:tabs>
          <w:tab w:val="left" w:pos="3360"/>
        </w:tabs>
        <w:autoSpaceDE w:val="0"/>
        <w:autoSpaceDN w:val="0"/>
        <w:adjustRightInd w:val="0"/>
        <w:snapToGrid w:val="0"/>
        <w:spacing w:line="360" w:lineRule="auto"/>
        <w:ind w:firstLine="390" w:firstLineChars="186"/>
        <w:jc w:val="left"/>
        <w:rPr>
          <w:rFonts w:ascii="宋体"/>
          <w:kern w:val="0"/>
        </w:rPr>
      </w:pPr>
      <w:r>
        <w:rPr>
          <w:rFonts w:hint="eastAsia" w:ascii="宋体" w:hAnsi="宋体" w:cs="宋体"/>
          <w:kern w:val="0"/>
        </w:rPr>
        <w:t>系</w:t>
      </w:r>
      <w:r>
        <w:rPr>
          <w:rFonts w:ascii="宋体"/>
          <w:kern w:val="0"/>
          <w:u w:val="single"/>
        </w:rPr>
        <w:tab/>
      </w:r>
      <w:r>
        <w:rPr>
          <w:rFonts w:hint="eastAsia" w:ascii="宋体" w:hAnsi="宋体" w:cs="宋体"/>
          <w:kern w:val="0"/>
        </w:rPr>
        <w:t>（询比申请人名称）的法定代表人。</w:t>
      </w:r>
    </w:p>
    <w:p w14:paraId="505C07B2">
      <w:pPr>
        <w:autoSpaceDE w:val="0"/>
        <w:autoSpaceDN w:val="0"/>
        <w:adjustRightInd w:val="0"/>
        <w:snapToGrid w:val="0"/>
        <w:spacing w:line="360" w:lineRule="auto"/>
        <w:ind w:firstLine="390" w:firstLineChars="186"/>
        <w:jc w:val="left"/>
        <w:rPr>
          <w:rFonts w:ascii="宋体"/>
          <w:kern w:val="0"/>
        </w:rPr>
      </w:pPr>
    </w:p>
    <w:p w14:paraId="4BEBC4F8">
      <w:pPr>
        <w:autoSpaceDE w:val="0"/>
        <w:autoSpaceDN w:val="0"/>
        <w:adjustRightInd w:val="0"/>
        <w:snapToGrid w:val="0"/>
        <w:spacing w:line="360" w:lineRule="auto"/>
        <w:ind w:firstLine="810" w:firstLineChars="386"/>
        <w:jc w:val="left"/>
        <w:rPr>
          <w:rFonts w:ascii="宋体"/>
          <w:kern w:val="0"/>
        </w:rPr>
      </w:pPr>
      <w:r>
        <w:rPr>
          <w:rFonts w:hint="eastAsia" w:ascii="宋体" w:hAnsi="宋体" w:cs="宋体"/>
          <w:kern w:val="0"/>
        </w:rPr>
        <w:t>特此证明。</w:t>
      </w:r>
    </w:p>
    <w:p w14:paraId="0940AECB">
      <w:pPr>
        <w:autoSpaceDE w:val="0"/>
        <w:autoSpaceDN w:val="0"/>
        <w:adjustRightInd w:val="0"/>
        <w:snapToGrid w:val="0"/>
        <w:spacing w:line="360" w:lineRule="auto"/>
        <w:jc w:val="left"/>
        <w:rPr>
          <w:rFonts w:ascii="宋体"/>
          <w:kern w:val="0"/>
        </w:rPr>
      </w:pPr>
    </w:p>
    <w:p w14:paraId="2077E0B7">
      <w:pPr>
        <w:tabs>
          <w:tab w:val="left" w:pos="5460"/>
        </w:tabs>
        <w:autoSpaceDE w:val="0"/>
        <w:autoSpaceDN w:val="0"/>
        <w:adjustRightInd w:val="0"/>
        <w:snapToGrid w:val="0"/>
        <w:spacing w:line="360" w:lineRule="auto"/>
        <w:ind w:firstLine="2100"/>
        <w:jc w:val="left"/>
        <w:rPr>
          <w:rFonts w:ascii="宋体"/>
          <w:kern w:val="0"/>
        </w:rPr>
      </w:pPr>
      <w:r>
        <w:rPr>
          <w:rFonts w:hint="eastAsia" w:ascii="宋体" w:hAnsi="宋体" w:cs="宋体"/>
          <w:kern w:val="0"/>
        </w:rPr>
        <w:t>询比申请人：</w:t>
      </w:r>
      <w:r>
        <w:rPr>
          <w:rFonts w:ascii="宋体"/>
          <w:kern w:val="0"/>
          <w:u w:val="single"/>
        </w:rPr>
        <w:tab/>
      </w:r>
      <w:r>
        <w:rPr>
          <w:rFonts w:hint="eastAsia" w:ascii="宋体" w:hAnsi="宋体" w:cs="宋体"/>
          <w:spacing w:val="-1"/>
          <w:kern w:val="0"/>
        </w:rPr>
        <w:t>（</w:t>
      </w:r>
      <w:r>
        <w:rPr>
          <w:rFonts w:hint="eastAsia" w:ascii="宋体" w:hAnsi="宋体" w:cs="宋体"/>
          <w:kern w:val="0"/>
        </w:rPr>
        <w:t>盖单位公章）</w:t>
      </w:r>
    </w:p>
    <w:p w14:paraId="795EE0DA">
      <w:pPr>
        <w:autoSpaceDE w:val="0"/>
        <w:autoSpaceDN w:val="0"/>
        <w:adjustRightInd w:val="0"/>
        <w:snapToGrid w:val="0"/>
        <w:spacing w:line="360" w:lineRule="auto"/>
        <w:jc w:val="left"/>
        <w:rPr>
          <w:rFonts w:ascii="宋体"/>
          <w:kern w:val="0"/>
        </w:rPr>
      </w:pPr>
    </w:p>
    <w:p w14:paraId="76D50B28">
      <w:pPr>
        <w:tabs>
          <w:tab w:val="left" w:pos="4935"/>
          <w:tab w:val="left" w:pos="5460"/>
          <w:tab w:val="left" w:pos="6400"/>
        </w:tabs>
        <w:autoSpaceDE w:val="0"/>
        <w:autoSpaceDN w:val="0"/>
        <w:adjustRightInd w:val="0"/>
        <w:snapToGrid w:val="0"/>
        <w:spacing w:line="360" w:lineRule="auto"/>
        <w:ind w:firstLine="3780"/>
        <w:jc w:val="left"/>
        <w:rPr>
          <w:rFonts w:ascii="宋体"/>
          <w:kern w:val="0"/>
        </w:rPr>
      </w:pPr>
      <w:r>
        <w:rPr>
          <w:rFonts w:ascii="宋体"/>
          <w:kern w:val="0"/>
          <w:u w:val="single"/>
        </w:rPr>
        <w:tab/>
      </w:r>
      <w:r>
        <w:rPr>
          <w:rFonts w:hint="eastAsia" w:ascii="宋体" w:hAnsi="宋体" w:cs="宋体"/>
          <w:spacing w:val="-1"/>
          <w:kern w:val="0"/>
        </w:rPr>
        <w:t>年</w:t>
      </w:r>
      <w:r>
        <w:rPr>
          <w:rFonts w:hint="eastAsia" w:ascii="宋体" w:hAnsi="宋体" w:cs="宋体"/>
          <w:kern w:val="0"/>
        </w:rPr>
        <w:t>月日</w:t>
      </w:r>
    </w:p>
    <w:p w14:paraId="1471B0A3">
      <w:pPr>
        <w:autoSpaceDE w:val="0"/>
        <w:autoSpaceDN w:val="0"/>
        <w:adjustRightInd w:val="0"/>
        <w:snapToGrid w:val="0"/>
        <w:spacing w:line="360" w:lineRule="auto"/>
        <w:jc w:val="left"/>
        <w:rPr>
          <w:rFonts w:ascii="宋体"/>
          <w:kern w:val="0"/>
        </w:rPr>
      </w:pPr>
    </w:p>
    <w:tbl>
      <w:tblPr>
        <w:tblStyle w:val="24"/>
        <w:tblpPr w:leftFromText="180" w:rightFromText="180" w:vertAnchor="text" w:horzAnchor="margin" w:tblpY="735"/>
        <w:tblW w:w="3960" w:type="dxa"/>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3960"/>
      </w:tblGrid>
      <w:tr w14:paraId="0530CDAB">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2340" w:hRule="atLeast"/>
        </w:trPr>
        <w:tc>
          <w:tcPr>
            <w:tcW w:w="3960" w:type="dxa"/>
          </w:tcPr>
          <w:p w14:paraId="3649EFE8">
            <w:pPr>
              <w:spacing w:line="360" w:lineRule="auto"/>
              <w:ind w:firstLine="211" w:firstLineChars="100"/>
              <w:rPr>
                <w:rFonts w:ascii="宋体"/>
                <w:b/>
                <w:bCs/>
              </w:rPr>
            </w:pPr>
          </w:p>
          <w:p w14:paraId="73B8926C">
            <w:pPr>
              <w:spacing w:line="360" w:lineRule="auto"/>
              <w:ind w:firstLine="211" w:firstLineChars="100"/>
              <w:rPr>
                <w:rFonts w:ascii="宋体"/>
                <w:b/>
                <w:bCs/>
              </w:rPr>
            </w:pPr>
            <w:r>
              <w:rPr>
                <w:rFonts w:hint="eastAsia" w:ascii="宋体" w:hAnsi="宋体" w:cs="宋体"/>
                <w:b/>
                <w:bCs/>
              </w:rPr>
              <w:t>法定代表人身份证正面复印件</w:t>
            </w:r>
          </w:p>
          <w:p w14:paraId="08B20360">
            <w:pPr>
              <w:spacing w:line="360" w:lineRule="auto"/>
              <w:rPr>
                <w:rFonts w:ascii="宋体"/>
                <w:b/>
                <w:bCs/>
              </w:rPr>
            </w:pPr>
          </w:p>
        </w:tc>
      </w:tr>
    </w:tbl>
    <w:p w14:paraId="45D99E53">
      <w:pPr>
        <w:spacing w:line="360" w:lineRule="auto"/>
        <w:rPr>
          <w:rFonts w:ascii="宋体"/>
          <w:vanish/>
        </w:rPr>
      </w:pPr>
    </w:p>
    <w:tbl>
      <w:tblPr>
        <w:tblStyle w:val="24"/>
        <w:tblpPr w:leftFromText="180" w:rightFromText="180" w:vertAnchor="text" w:horzAnchor="margin" w:tblpXSpec="right" w:tblpY="683"/>
        <w:tblW w:w="3960" w:type="dxa"/>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3960"/>
      </w:tblGrid>
      <w:tr w14:paraId="5A22CBB1">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2340" w:hRule="atLeast"/>
        </w:trPr>
        <w:tc>
          <w:tcPr>
            <w:tcW w:w="3960" w:type="dxa"/>
          </w:tcPr>
          <w:p w14:paraId="42D9E8B2">
            <w:pPr>
              <w:spacing w:line="360" w:lineRule="auto"/>
              <w:ind w:firstLine="211" w:firstLineChars="100"/>
              <w:rPr>
                <w:rFonts w:ascii="宋体"/>
                <w:b/>
                <w:bCs/>
              </w:rPr>
            </w:pPr>
          </w:p>
          <w:p w14:paraId="323D46D6">
            <w:pPr>
              <w:spacing w:line="360" w:lineRule="auto"/>
              <w:ind w:firstLine="211" w:firstLineChars="100"/>
              <w:rPr>
                <w:rFonts w:ascii="宋体"/>
                <w:b/>
                <w:bCs/>
              </w:rPr>
            </w:pPr>
            <w:r>
              <w:rPr>
                <w:rFonts w:hint="eastAsia" w:ascii="宋体" w:hAnsi="宋体" w:cs="宋体"/>
                <w:b/>
                <w:bCs/>
              </w:rPr>
              <w:t>法定代表人身份证背面复印件</w:t>
            </w:r>
          </w:p>
          <w:p w14:paraId="7761EB33">
            <w:pPr>
              <w:spacing w:line="360" w:lineRule="auto"/>
              <w:rPr>
                <w:rFonts w:ascii="宋体"/>
                <w:b/>
                <w:bCs/>
              </w:rPr>
            </w:pPr>
          </w:p>
        </w:tc>
      </w:tr>
    </w:tbl>
    <w:p w14:paraId="64DE0D2D">
      <w:pPr>
        <w:tabs>
          <w:tab w:val="left" w:pos="1680"/>
          <w:tab w:val="left" w:pos="4215"/>
          <w:tab w:val="left" w:pos="4305"/>
          <w:tab w:val="left" w:pos="8000"/>
        </w:tabs>
        <w:autoSpaceDE w:val="0"/>
        <w:autoSpaceDN w:val="0"/>
        <w:adjustRightInd w:val="0"/>
        <w:snapToGrid w:val="0"/>
        <w:spacing w:line="360" w:lineRule="auto"/>
        <w:rPr>
          <w:rFonts w:ascii="宋体"/>
          <w:b/>
          <w:bCs/>
          <w:kern w:val="0"/>
        </w:rPr>
      </w:pPr>
    </w:p>
    <w:p w14:paraId="639B0FD6">
      <w:pPr>
        <w:spacing w:line="360" w:lineRule="auto"/>
        <w:rPr>
          <w:rFonts w:ascii="宋体"/>
        </w:rPr>
        <w:sectPr>
          <w:footerReference r:id="rId6" w:type="first"/>
          <w:footerReference r:id="rId5" w:type="default"/>
          <w:pgSz w:w="11906" w:h="16838"/>
          <w:pgMar w:top="1276" w:right="1162" w:bottom="1135" w:left="1134" w:header="851" w:footer="992" w:gutter="0"/>
          <w:pgNumType w:start="1"/>
          <w:cols w:space="720" w:num="1"/>
          <w:titlePg/>
          <w:docGrid w:type="lines" w:linePitch="312" w:charSpace="0"/>
        </w:sectPr>
      </w:pPr>
    </w:p>
    <w:p w14:paraId="0BE6A0A3">
      <w:pPr>
        <w:spacing w:line="360" w:lineRule="auto"/>
        <w:jc w:val="center"/>
        <w:rPr>
          <w:rFonts w:ascii="宋体" w:hAnsi="宋体" w:cs="宋体"/>
          <w:b/>
          <w:bCs/>
          <w:spacing w:val="8"/>
          <w:sz w:val="28"/>
          <w:szCs w:val="28"/>
        </w:rPr>
      </w:pPr>
      <w:bookmarkStart w:id="79" w:name="_Toc17235"/>
      <w:bookmarkStart w:id="80" w:name="_Toc13276"/>
      <w:r>
        <w:rPr>
          <w:rFonts w:hint="eastAsia" w:ascii="宋体" w:hAnsi="宋体" w:cs="宋体"/>
          <w:b/>
          <w:bCs/>
          <w:spacing w:val="8"/>
          <w:sz w:val="28"/>
          <w:szCs w:val="28"/>
        </w:rPr>
        <w:t>询比申请人资格证明材料</w:t>
      </w:r>
      <w:bookmarkEnd w:id="79"/>
      <w:bookmarkEnd w:id="80"/>
    </w:p>
    <w:p w14:paraId="0B4C1966"/>
    <w:p w14:paraId="606C258D">
      <w:pPr>
        <w:pStyle w:val="3"/>
        <w:numPr>
          <w:ilvl w:val="0"/>
          <w:numId w:val="2"/>
        </w:numPr>
        <w:jc w:val="left"/>
      </w:pPr>
      <w:r>
        <w:rPr>
          <w:rFonts w:hint="eastAsia"/>
        </w:rPr>
        <w:t>营业执照</w:t>
      </w:r>
    </w:p>
    <w:p w14:paraId="7318227B">
      <w:pPr>
        <w:pStyle w:val="3"/>
        <w:numPr>
          <w:ilvl w:val="0"/>
          <w:numId w:val="2"/>
        </w:numPr>
        <w:jc w:val="left"/>
      </w:pPr>
      <w:r>
        <w:t>业绩</w:t>
      </w:r>
      <w:r>
        <w:rPr>
          <w:rFonts w:hint="eastAsia"/>
        </w:rPr>
        <w:t>合同</w:t>
      </w:r>
    </w:p>
    <w:p w14:paraId="4DBADCBC">
      <w:r>
        <w:br w:type="page"/>
      </w:r>
    </w:p>
    <w:p w14:paraId="4D3DAEA7">
      <w:pPr>
        <w:pStyle w:val="3"/>
        <w:jc w:val="center"/>
        <w:rPr>
          <w:b/>
          <w:bCs/>
        </w:rPr>
      </w:pPr>
      <w:r>
        <w:rPr>
          <w:rFonts w:hint="eastAsia"/>
          <w:b/>
          <w:bCs/>
        </w:rPr>
        <w:t>承诺书</w:t>
      </w:r>
    </w:p>
    <w:p w14:paraId="3D774326"/>
    <w:p w14:paraId="63358166">
      <w:pPr>
        <w:spacing w:line="360" w:lineRule="auto"/>
        <w:rPr>
          <w:rFonts w:ascii="宋体" w:hAnsi="宋体" w:cs="宋体"/>
        </w:rPr>
      </w:pPr>
      <w:r>
        <w:rPr>
          <w:rFonts w:hint="eastAsia" w:ascii="宋体" w:hAnsi="宋体" w:cs="宋体"/>
        </w:rPr>
        <w:tab/>
      </w:r>
      <w:r>
        <w:rPr>
          <w:rFonts w:hint="eastAsia" w:ascii="宋体" w:hAnsi="宋体" w:cs="宋体"/>
          <w:u w:val="single"/>
        </w:rPr>
        <w:t xml:space="preserve">             </w:t>
      </w:r>
      <w:r>
        <w:rPr>
          <w:rFonts w:hint="eastAsia" w:ascii="宋体" w:hAnsi="宋体" w:cs="宋体"/>
        </w:rPr>
        <w:t>（采购人名称）：</w:t>
      </w:r>
    </w:p>
    <w:p w14:paraId="22AD9A3E">
      <w:pPr>
        <w:spacing w:line="360" w:lineRule="auto"/>
        <w:ind w:firstLine="420" w:firstLineChars="200"/>
        <w:rPr>
          <w:rFonts w:hint="eastAsia" w:ascii="宋体" w:hAnsi="宋体" w:cs="宋体"/>
        </w:rPr>
      </w:pPr>
      <w:r>
        <w:rPr>
          <w:rFonts w:hint="eastAsia" w:ascii="宋体" w:hAnsi="宋体" w:cs="宋体"/>
        </w:rPr>
        <w:t>我公司     （供应商名称）参加了贵单位      （项目名称）的询比，自愿作出以下承诺：</w:t>
      </w:r>
    </w:p>
    <w:p w14:paraId="52953C71">
      <w:pPr>
        <w:adjustRightInd w:val="0"/>
        <w:snapToGrid w:val="0"/>
        <w:spacing w:line="400" w:lineRule="exact"/>
        <w:ind w:firstLine="420" w:firstLineChars="200"/>
        <w:rPr>
          <w:rFonts w:ascii="宋体" w:hAnsi="宋体" w:cs="宋体"/>
          <w:highlight w:val="none"/>
        </w:rPr>
      </w:pPr>
      <w:r>
        <w:rPr>
          <w:rFonts w:hint="eastAsia" w:ascii="宋体" w:hAnsi="宋体" w:cs="宋体"/>
          <w:highlight w:val="none"/>
        </w:rPr>
        <w:t>1.</w:t>
      </w:r>
      <w:r>
        <w:rPr>
          <w:rFonts w:hint="eastAsia" w:ascii="宋体" w:hAnsi="宋体" w:cs="宋体"/>
          <w:highlight w:val="none"/>
          <w:lang w:val="en-US" w:eastAsia="zh-CN"/>
        </w:rPr>
        <w:t>我司具有</w:t>
      </w:r>
      <w:r>
        <w:rPr>
          <w:rFonts w:hint="eastAsia" w:ascii="宋体" w:hAnsi="宋体" w:cs="宋体"/>
          <w:highlight w:val="none"/>
        </w:rPr>
        <w:t>有效的会计师事务所执业证书及营业执照。</w:t>
      </w:r>
    </w:p>
    <w:p w14:paraId="6B606E6D">
      <w:pPr>
        <w:adjustRightInd w:val="0"/>
        <w:snapToGrid w:val="0"/>
        <w:spacing w:line="400" w:lineRule="exact"/>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highlight w:val="none"/>
        </w:rPr>
        <w:t>2.</w:t>
      </w:r>
      <w:r>
        <w:rPr>
          <w:rFonts w:hint="eastAsia" w:ascii="宋体" w:hAnsi="宋体" w:cs="宋体"/>
          <w:highlight w:val="none"/>
          <w:lang w:val="en-US" w:eastAsia="zh-CN"/>
        </w:rPr>
        <w:t>我司</w:t>
      </w:r>
      <w:r>
        <w:rPr>
          <w:rFonts w:hint="eastAsia" w:ascii="宋体" w:hAnsi="宋体" w:cs="宋体"/>
          <w:highlight w:val="none"/>
        </w:rPr>
        <w:t>具有良好的</w:t>
      </w:r>
      <w:r>
        <w:rPr>
          <w:rFonts w:hint="eastAsia" w:ascii="宋体" w:hAnsi="宋体" w:cs="宋体"/>
          <w:color w:val="000000" w:themeColor="text1"/>
          <w:highlight w:val="none"/>
          <w14:textFill>
            <w14:solidFill>
              <w14:schemeClr w14:val="tx1"/>
            </w14:solidFill>
          </w14:textFill>
        </w:rPr>
        <w:t>商业信誉和健全的财务会计制度，有依法缴纳税收和社会保障资金的良好记录，且不得存在以下情形之一：</w:t>
      </w:r>
    </w:p>
    <w:p w14:paraId="07B4C3CF">
      <w:pPr>
        <w:adjustRightInd w:val="0"/>
        <w:snapToGrid w:val="0"/>
        <w:spacing w:line="400" w:lineRule="exact"/>
        <w:ind w:firstLine="420" w:firstLineChars="200"/>
        <w:rPr>
          <w:rFonts w:ascii="宋体" w:hAnsi="宋体" w:cs="宋体"/>
        </w:rPr>
      </w:pPr>
      <w:r>
        <w:rPr>
          <w:rFonts w:hint="eastAsia" w:ascii="宋体" w:hAnsi="宋体" w:cs="宋体"/>
        </w:rPr>
        <w:t xml:space="preserve">（1）与采购方存在利害关系且可能影响采购活动公正性； </w:t>
      </w:r>
    </w:p>
    <w:p w14:paraId="437D6A6C">
      <w:pPr>
        <w:adjustRightInd w:val="0"/>
        <w:snapToGrid w:val="0"/>
        <w:spacing w:line="400" w:lineRule="exact"/>
        <w:ind w:firstLine="420" w:firstLineChars="200"/>
        <w:rPr>
          <w:rFonts w:ascii="宋体" w:hAnsi="宋体" w:cs="宋体"/>
        </w:rPr>
      </w:pPr>
      <w:r>
        <w:rPr>
          <w:rFonts w:hint="eastAsia" w:ascii="宋体" w:hAnsi="宋体" w:cs="宋体"/>
        </w:rPr>
        <w:t xml:space="preserve">（2）与本采购项目的其他供应商为同一个单位负责人； </w:t>
      </w:r>
    </w:p>
    <w:p w14:paraId="5E45E9F0">
      <w:pPr>
        <w:adjustRightInd w:val="0"/>
        <w:snapToGrid w:val="0"/>
        <w:spacing w:line="400" w:lineRule="exact"/>
        <w:ind w:firstLine="420" w:firstLineChars="200"/>
        <w:rPr>
          <w:rFonts w:ascii="宋体" w:hAnsi="宋体" w:cs="宋体"/>
        </w:rPr>
      </w:pPr>
      <w:r>
        <w:rPr>
          <w:rFonts w:hint="eastAsia" w:ascii="宋体" w:hAnsi="宋体" w:cs="宋体"/>
        </w:rPr>
        <w:t xml:space="preserve">（3）与本采购项目的其他供应商存在控股、管理关系； </w:t>
      </w:r>
    </w:p>
    <w:p w14:paraId="0A332BDE">
      <w:pPr>
        <w:adjustRightInd w:val="0"/>
        <w:snapToGrid w:val="0"/>
        <w:spacing w:line="400" w:lineRule="exact"/>
        <w:ind w:firstLine="420" w:firstLineChars="200"/>
        <w:rPr>
          <w:rFonts w:ascii="宋体" w:hAnsi="宋体" w:cs="宋体"/>
        </w:rPr>
      </w:pPr>
      <w:r>
        <w:rPr>
          <w:rFonts w:hint="eastAsia" w:ascii="宋体" w:hAnsi="宋体" w:cs="宋体"/>
        </w:rPr>
        <w:t xml:space="preserve">（4）被依法暂停或者取消投标资格； </w:t>
      </w:r>
    </w:p>
    <w:p w14:paraId="55B72F90">
      <w:pPr>
        <w:adjustRightInd w:val="0"/>
        <w:snapToGrid w:val="0"/>
        <w:spacing w:line="400" w:lineRule="exact"/>
        <w:ind w:firstLine="420" w:firstLineChars="200"/>
        <w:rPr>
          <w:rFonts w:ascii="宋体" w:hAnsi="宋体" w:cs="宋体"/>
        </w:rPr>
      </w:pPr>
      <w:r>
        <w:rPr>
          <w:rFonts w:hint="eastAsia" w:ascii="宋体" w:hAnsi="宋体" w:cs="宋体"/>
        </w:rPr>
        <w:t xml:space="preserve">（5）被其他采购方列入黑名单并在其官网公布的； </w:t>
      </w:r>
    </w:p>
    <w:p w14:paraId="2FADD4D8">
      <w:pPr>
        <w:adjustRightInd w:val="0"/>
        <w:snapToGrid w:val="0"/>
        <w:spacing w:line="400" w:lineRule="exact"/>
        <w:ind w:firstLine="420" w:firstLineChars="200"/>
        <w:rPr>
          <w:rFonts w:ascii="宋体" w:hAnsi="宋体" w:cs="宋体"/>
        </w:rPr>
      </w:pPr>
      <w:r>
        <w:rPr>
          <w:rFonts w:hint="eastAsia" w:ascii="宋体" w:hAnsi="宋体" w:cs="宋体"/>
        </w:rPr>
        <w:t xml:space="preserve">（6）被责令停产停业、暂扣或者吊销许可证、暂扣或者吊销执照； </w:t>
      </w:r>
    </w:p>
    <w:p w14:paraId="2D4B850E">
      <w:pPr>
        <w:adjustRightInd w:val="0"/>
        <w:snapToGrid w:val="0"/>
        <w:spacing w:line="400" w:lineRule="exact"/>
        <w:ind w:firstLine="420" w:firstLineChars="200"/>
        <w:rPr>
          <w:rFonts w:ascii="宋体" w:hAnsi="宋体" w:cs="宋体"/>
        </w:rPr>
      </w:pPr>
      <w:r>
        <w:rPr>
          <w:rFonts w:hint="eastAsia" w:ascii="宋体" w:hAnsi="宋体" w:cs="宋体"/>
        </w:rPr>
        <w:t xml:space="preserve">（7）进入清算程序，或被宣告破产，或其他丧失履约能力的情形； </w:t>
      </w:r>
    </w:p>
    <w:p w14:paraId="785BC53D">
      <w:pPr>
        <w:adjustRightInd w:val="0"/>
        <w:snapToGrid w:val="0"/>
        <w:spacing w:line="400" w:lineRule="exact"/>
        <w:ind w:firstLine="420" w:firstLineChars="200"/>
        <w:rPr>
          <w:rFonts w:ascii="宋体" w:hAnsi="宋体" w:cs="宋体"/>
        </w:rPr>
      </w:pPr>
      <w:r>
        <w:rPr>
          <w:rFonts w:hint="eastAsia" w:ascii="宋体" w:hAnsi="宋体" w:cs="宋体"/>
        </w:rPr>
        <w:t xml:space="preserve">（8）在最近三年内发生重大审计执业质量问题、行政处罚记录； </w:t>
      </w:r>
    </w:p>
    <w:p w14:paraId="360E582F">
      <w:pPr>
        <w:adjustRightInd w:val="0"/>
        <w:snapToGrid w:val="0"/>
        <w:spacing w:line="400" w:lineRule="exact"/>
        <w:ind w:left="420" w:leftChars="200"/>
        <w:rPr>
          <w:rFonts w:hint="eastAsia" w:ascii="宋体" w:hAnsi="宋体" w:cs="宋体"/>
        </w:rPr>
      </w:pPr>
      <w:r>
        <w:rPr>
          <w:rFonts w:hint="eastAsia" w:ascii="宋体" w:hAnsi="宋体" w:cs="宋体"/>
        </w:rPr>
        <w:t xml:space="preserve">（9）被市场监督管理机关在全国企业信用信息公示系统中列入经营异常、严重违法失信企业名单； </w:t>
      </w:r>
    </w:p>
    <w:p w14:paraId="12179246">
      <w:pPr>
        <w:adjustRightInd w:val="0"/>
        <w:snapToGrid w:val="0"/>
        <w:spacing w:line="400" w:lineRule="exact"/>
        <w:ind w:left="420" w:leftChars="200"/>
        <w:rPr>
          <w:rFonts w:ascii="宋体" w:hAnsi="宋体" w:cs="宋体"/>
          <w:highlight w:val="none"/>
        </w:rPr>
      </w:pPr>
      <w:r>
        <w:rPr>
          <w:rFonts w:hint="eastAsia" w:ascii="宋体" w:hAnsi="宋体" w:cs="宋体"/>
        </w:rPr>
        <w:t>（10）近三年存在注册会计师行业主管部门作出的行政处罚、行业惩戒记录。</w:t>
      </w:r>
    </w:p>
    <w:p w14:paraId="5345D5D9">
      <w:pPr>
        <w:spacing w:line="400" w:lineRule="exact"/>
        <w:ind w:firstLine="420" w:firstLineChars="200"/>
        <w:jc w:val="left"/>
        <w:rPr>
          <w:rFonts w:ascii="宋体" w:hAnsi="宋体" w:cs="宋体"/>
        </w:rPr>
      </w:pPr>
      <w:r>
        <w:rPr>
          <w:rFonts w:hint="eastAsia" w:ascii="宋体" w:hAnsi="宋体" w:cs="宋体"/>
          <w:lang w:val="en-US" w:eastAsia="zh-CN"/>
        </w:rPr>
        <w:t>3.</w:t>
      </w:r>
      <w:r>
        <w:rPr>
          <w:rFonts w:hint="eastAsia" w:ascii="宋体" w:hAnsi="宋体" w:cs="宋体"/>
        </w:rPr>
        <w:t>我公司并非联合体参与本项目询比，并承诺本项目不转包、不分包、不挂靠；</w:t>
      </w:r>
    </w:p>
    <w:p w14:paraId="1BCCE45D">
      <w:pPr>
        <w:spacing w:line="400" w:lineRule="exact"/>
        <w:ind w:firstLine="420" w:firstLineChars="200"/>
        <w:jc w:val="left"/>
        <w:rPr>
          <w:rFonts w:ascii="宋体" w:hAnsi="宋体" w:cs="宋体"/>
        </w:rPr>
      </w:pPr>
      <w:r>
        <w:rPr>
          <w:rFonts w:hint="eastAsia" w:ascii="宋体" w:hAnsi="宋体" w:cs="宋体"/>
          <w:lang w:val="en-US" w:eastAsia="zh-CN"/>
        </w:rPr>
        <w:t>4.</w:t>
      </w:r>
      <w:r>
        <w:rPr>
          <w:rFonts w:hint="eastAsia" w:ascii="宋体" w:hAnsi="宋体" w:cs="宋体"/>
        </w:rPr>
        <w:t>我公司的响应文件中没有贵单位不能接受的条件。入围后严格按照</w:t>
      </w:r>
      <w:bookmarkStart w:id="81" w:name="OLE_LINK2"/>
      <w:r>
        <w:rPr>
          <w:rFonts w:hint="eastAsia" w:ascii="宋体" w:hAnsi="宋体" w:cs="宋体"/>
        </w:rPr>
        <w:t>询比文件</w:t>
      </w:r>
      <w:bookmarkEnd w:id="81"/>
      <w:r>
        <w:rPr>
          <w:rFonts w:hint="eastAsia" w:ascii="宋体" w:hAnsi="宋体" w:cs="宋体"/>
        </w:rPr>
        <w:t>要求与采购人签订合同。</w:t>
      </w:r>
    </w:p>
    <w:p w14:paraId="147E4B96">
      <w:pPr>
        <w:pStyle w:val="2"/>
        <w:spacing w:line="400" w:lineRule="exact"/>
        <w:ind w:left="63" w:right="63" w:firstLineChars="200"/>
        <w:jc w:val="left"/>
        <w:rPr>
          <w:sz w:val="21"/>
          <w:szCs w:val="21"/>
        </w:rPr>
      </w:pPr>
      <w:r>
        <w:rPr>
          <w:rFonts w:hint="eastAsia"/>
          <w:sz w:val="21"/>
          <w:szCs w:val="21"/>
        </w:rPr>
        <w:t>特此承诺！</w:t>
      </w:r>
    </w:p>
    <w:p w14:paraId="4322F8F3">
      <w:pPr>
        <w:pStyle w:val="2"/>
        <w:spacing w:line="400" w:lineRule="exact"/>
        <w:ind w:left="63" w:right="63" w:firstLineChars="200"/>
        <w:jc w:val="left"/>
        <w:rPr>
          <w:sz w:val="21"/>
          <w:szCs w:val="21"/>
        </w:rPr>
      </w:pPr>
    </w:p>
    <w:p w14:paraId="34FE0B93">
      <w:pPr>
        <w:tabs>
          <w:tab w:val="left" w:pos="5460"/>
        </w:tabs>
        <w:autoSpaceDE w:val="0"/>
        <w:autoSpaceDN w:val="0"/>
        <w:adjustRightInd w:val="0"/>
        <w:snapToGrid w:val="0"/>
        <w:spacing w:line="360" w:lineRule="auto"/>
        <w:ind w:firstLine="2100"/>
        <w:jc w:val="right"/>
        <w:rPr>
          <w:rFonts w:ascii="宋体" w:hAnsi="宋体" w:cs="宋体"/>
        </w:rPr>
      </w:pPr>
    </w:p>
    <w:p w14:paraId="1A40A1CA">
      <w:pPr>
        <w:tabs>
          <w:tab w:val="left" w:pos="5460"/>
        </w:tabs>
        <w:autoSpaceDE w:val="0"/>
        <w:autoSpaceDN w:val="0"/>
        <w:adjustRightInd w:val="0"/>
        <w:snapToGrid w:val="0"/>
        <w:spacing w:line="360" w:lineRule="auto"/>
        <w:ind w:firstLine="2100"/>
        <w:jc w:val="right"/>
        <w:rPr>
          <w:rFonts w:ascii="宋体" w:hAnsi="宋体" w:cs="宋体"/>
        </w:rPr>
      </w:pPr>
      <w:r>
        <w:rPr>
          <w:rFonts w:hint="eastAsia" w:ascii="宋体" w:hAnsi="宋体" w:cs="宋体"/>
        </w:rPr>
        <w:t xml:space="preserve">  询比申请人：</w:t>
      </w:r>
      <w:r>
        <w:rPr>
          <w:rFonts w:hint="eastAsia" w:ascii="宋体" w:hAnsi="宋体" w:cs="宋体"/>
        </w:rPr>
        <w:tab/>
      </w:r>
      <w:r>
        <w:rPr>
          <w:rFonts w:hint="eastAsia" w:ascii="宋体" w:hAnsi="宋体" w:cs="宋体"/>
        </w:rPr>
        <w:t>（盖单位公章）</w:t>
      </w:r>
    </w:p>
    <w:p w14:paraId="38C94C61">
      <w:pPr>
        <w:pStyle w:val="102"/>
        <w:tabs>
          <w:tab w:val="left" w:pos="525"/>
        </w:tabs>
        <w:spacing w:after="156" w:afterLines="50" w:line="360" w:lineRule="auto"/>
        <w:ind w:firstLine="0"/>
        <w:jc w:val="right"/>
        <w:rPr>
          <w:rFonts w:ascii="宋体" w:hAnsi="宋体" w:cs="宋体"/>
          <w:sz w:val="24"/>
        </w:rPr>
      </w:pPr>
      <w:r>
        <w:rPr>
          <w:rFonts w:hint="eastAsia" w:ascii="宋体" w:hAnsi="宋体" w:cs="宋体"/>
          <w:sz w:val="21"/>
          <w:szCs w:val="21"/>
        </w:rPr>
        <w:t>法定代表人或其委托代理人：   （签字或盖章）</w:t>
      </w:r>
    </w:p>
    <w:p w14:paraId="7F7F64CA">
      <w:pPr>
        <w:autoSpaceDE w:val="0"/>
        <w:autoSpaceDN w:val="0"/>
        <w:adjustRightInd w:val="0"/>
        <w:snapToGrid w:val="0"/>
        <w:spacing w:line="360" w:lineRule="auto"/>
        <w:jc w:val="right"/>
        <w:rPr>
          <w:rFonts w:ascii="宋体"/>
          <w:kern w:val="0"/>
          <w:sz w:val="24"/>
          <w:szCs w:val="24"/>
        </w:rPr>
      </w:pPr>
    </w:p>
    <w:p w14:paraId="23D54D2F">
      <w:pPr>
        <w:rPr>
          <w:rFonts w:ascii="宋体" w:hAnsi="宋体" w:cs="宋体"/>
          <w:kern w:val="0"/>
          <w:sz w:val="24"/>
          <w:szCs w:val="24"/>
        </w:rPr>
      </w:pPr>
      <w:r>
        <w:rPr>
          <w:rFonts w:hint="eastAsia" w:ascii="宋体"/>
          <w:kern w:val="0"/>
          <w:sz w:val="24"/>
          <w:szCs w:val="24"/>
        </w:rPr>
        <w:t xml:space="preserve">                                                              </w:t>
      </w:r>
      <w:r>
        <w:rPr>
          <w:rFonts w:hint="eastAsia" w:ascii="宋体" w:hAnsi="宋体" w:cs="宋体"/>
          <w:spacing w:val="-1"/>
          <w:kern w:val="0"/>
          <w:sz w:val="24"/>
          <w:szCs w:val="24"/>
        </w:rPr>
        <w:t xml:space="preserve">年   </w:t>
      </w:r>
      <w:r>
        <w:rPr>
          <w:rFonts w:hint="eastAsia" w:ascii="宋体" w:hAnsi="宋体" w:cs="宋体"/>
          <w:kern w:val="0"/>
          <w:sz w:val="24"/>
          <w:szCs w:val="24"/>
        </w:rPr>
        <w:t>月   日</w:t>
      </w:r>
    </w:p>
    <w:p w14:paraId="656791C5">
      <w:pPr>
        <w:rPr>
          <w:rFonts w:ascii="宋体" w:hAnsi="宋体" w:cs="宋体"/>
          <w:kern w:val="0"/>
          <w:sz w:val="24"/>
          <w:szCs w:val="24"/>
        </w:rPr>
      </w:pPr>
    </w:p>
    <w:p w14:paraId="3C24CC92">
      <w:pPr>
        <w:rPr>
          <w:rFonts w:ascii="宋体" w:hAnsi="宋体" w:cs="宋体"/>
          <w:kern w:val="0"/>
          <w:sz w:val="24"/>
          <w:szCs w:val="24"/>
        </w:rPr>
      </w:pPr>
    </w:p>
    <w:p w14:paraId="31E80D0C">
      <w:pPr>
        <w:spacing w:line="360" w:lineRule="auto"/>
        <w:rPr>
          <w:rFonts w:ascii="宋体" w:hAnsi="宋体" w:cs="宋体"/>
        </w:rPr>
      </w:pPr>
      <w:r>
        <w:rPr>
          <w:rFonts w:hint="eastAsia" w:ascii="宋体" w:hAnsi="宋体" w:cs="宋体"/>
        </w:rPr>
        <w:t>（后附查询结果截图）</w:t>
      </w:r>
    </w:p>
    <w:p w14:paraId="257EA7E7">
      <w:r>
        <w:br w:type="page"/>
      </w:r>
    </w:p>
    <w:p w14:paraId="22910062">
      <w:pPr>
        <w:pStyle w:val="4"/>
        <w:ind w:firstLine="520"/>
      </w:pPr>
    </w:p>
    <w:p w14:paraId="17895899">
      <w:pPr>
        <w:spacing w:line="360" w:lineRule="auto"/>
        <w:jc w:val="center"/>
        <w:rPr>
          <w:rFonts w:ascii="宋体"/>
          <w:b/>
          <w:bCs/>
          <w:sz w:val="28"/>
          <w:szCs w:val="28"/>
        </w:rPr>
      </w:pPr>
      <w:bookmarkStart w:id="82" w:name="_Toc26105"/>
      <w:bookmarkStart w:id="83" w:name="_Toc120633489"/>
      <w:bookmarkStart w:id="84" w:name="_Toc12557"/>
      <w:r>
        <w:rPr>
          <w:rFonts w:hint="eastAsia" w:ascii="宋体" w:hAnsi="宋体" w:cs="宋体"/>
          <w:b/>
          <w:bCs/>
          <w:sz w:val="28"/>
          <w:szCs w:val="28"/>
        </w:rPr>
        <w:t>询比文件规定的其它资料</w:t>
      </w:r>
      <w:bookmarkEnd w:id="82"/>
      <w:bookmarkEnd w:id="83"/>
      <w:bookmarkEnd w:id="84"/>
      <w:r>
        <w:rPr>
          <w:rFonts w:hint="eastAsia" w:ascii="宋体" w:hAnsi="宋体" w:cs="宋体"/>
          <w:b/>
          <w:bCs/>
          <w:sz w:val="28"/>
          <w:szCs w:val="28"/>
        </w:rPr>
        <w:t>(如有)</w:t>
      </w:r>
    </w:p>
    <w:p w14:paraId="3D34EFF0">
      <w:pPr>
        <w:spacing w:line="360" w:lineRule="auto"/>
        <w:ind w:firstLine="630" w:firstLineChars="300"/>
        <w:jc w:val="left"/>
        <w:rPr>
          <w:rFonts w:ascii="宋体" w:hAnsi="宋体" w:cs="宋体"/>
        </w:rPr>
      </w:pPr>
    </w:p>
    <w:p w14:paraId="184F3E4F">
      <w:pPr>
        <w:spacing w:line="360" w:lineRule="auto"/>
        <w:ind w:firstLine="630" w:firstLineChars="300"/>
        <w:jc w:val="left"/>
        <w:rPr>
          <w:rFonts w:ascii="宋体" w:hAnsi="宋体" w:cs="宋体"/>
        </w:rPr>
      </w:pPr>
      <w:r>
        <w:rPr>
          <w:rFonts w:hint="eastAsia" w:ascii="宋体" w:hAnsi="宋体" w:cs="宋体"/>
        </w:rPr>
        <w:t>（如承诺、商务部分及技术部分的评分资料、询比申请人认为参与此次询比应提交的其他资料）</w:t>
      </w:r>
    </w:p>
    <w:p w14:paraId="12283493">
      <w:pPr>
        <w:spacing w:line="360" w:lineRule="auto"/>
        <w:jc w:val="center"/>
        <w:rPr>
          <w:rFonts w:ascii="宋体"/>
          <w:b/>
          <w:bCs/>
          <w:sz w:val="28"/>
          <w:szCs w:val="28"/>
        </w:rPr>
      </w:pPr>
    </w:p>
    <w:p w14:paraId="5DB86CD3">
      <w:pPr>
        <w:spacing w:line="360" w:lineRule="auto"/>
        <w:jc w:val="center"/>
        <w:rPr>
          <w:rFonts w:ascii="宋体"/>
          <w:b/>
          <w:bCs/>
          <w:sz w:val="28"/>
          <w:szCs w:val="28"/>
        </w:rPr>
      </w:pPr>
    </w:p>
    <w:p w14:paraId="163B567D">
      <w:pPr>
        <w:spacing w:line="360" w:lineRule="auto"/>
        <w:jc w:val="center"/>
        <w:rPr>
          <w:rFonts w:ascii="宋体"/>
          <w:b/>
          <w:bCs/>
          <w:sz w:val="28"/>
          <w:szCs w:val="28"/>
        </w:rPr>
      </w:pPr>
    </w:p>
    <w:p w14:paraId="074A845C">
      <w:pPr>
        <w:spacing w:line="360" w:lineRule="auto"/>
        <w:jc w:val="center"/>
        <w:rPr>
          <w:rFonts w:ascii="宋体"/>
          <w:b/>
          <w:bCs/>
          <w:sz w:val="28"/>
          <w:szCs w:val="28"/>
        </w:rPr>
      </w:pPr>
    </w:p>
    <w:p w14:paraId="2EBA6F4C">
      <w:pPr>
        <w:spacing w:line="360" w:lineRule="auto"/>
        <w:jc w:val="center"/>
        <w:rPr>
          <w:rFonts w:ascii="宋体"/>
          <w:b/>
          <w:bCs/>
          <w:sz w:val="28"/>
          <w:szCs w:val="28"/>
        </w:rPr>
      </w:pPr>
    </w:p>
    <w:p w14:paraId="49E97C52">
      <w:pPr>
        <w:spacing w:line="360" w:lineRule="auto"/>
        <w:jc w:val="center"/>
        <w:rPr>
          <w:rFonts w:ascii="宋体"/>
          <w:b/>
          <w:bCs/>
          <w:sz w:val="28"/>
          <w:szCs w:val="28"/>
        </w:rPr>
      </w:pPr>
    </w:p>
    <w:p w14:paraId="74EB18F1">
      <w:pPr>
        <w:spacing w:line="360" w:lineRule="auto"/>
        <w:jc w:val="center"/>
        <w:rPr>
          <w:rFonts w:ascii="宋体"/>
          <w:b/>
          <w:bCs/>
          <w:sz w:val="28"/>
          <w:szCs w:val="28"/>
        </w:rPr>
      </w:pPr>
    </w:p>
    <w:p w14:paraId="270C6BBC">
      <w:pPr>
        <w:spacing w:line="360" w:lineRule="auto"/>
        <w:jc w:val="center"/>
        <w:rPr>
          <w:rFonts w:ascii="宋体"/>
          <w:b/>
          <w:bCs/>
          <w:sz w:val="28"/>
          <w:szCs w:val="28"/>
        </w:rPr>
      </w:pPr>
    </w:p>
    <w:p w14:paraId="6B2898BD">
      <w:pPr>
        <w:spacing w:line="360" w:lineRule="auto"/>
        <w:jc w:val="center"/>
        <w:rPr>
          <w:rFonts w:ascii="宋体"/>
          <w:b/>
          <w:bCs/>
          <w:sz w:val="28"/>
          <w:szCs w:val="28"/>
        </w:rPr>
      </w:pPr>
    </w:p>
    <w:p w14:paraId="4346C7FA">
      <w:pPr>
        <w:rPr>
          <w:rFonts w:ascii="宋体"/>
          <w:b/>
          <w:bCs/>
          <w:sz w:val="28"/>
          <w:szCs w:val="28"/>
        </w:rPr>
      </w:pPr>
    </w:p>
    <w:p w14:paraId="4941DE4C">
      <w:pPr>
        <w:pStyle w:val="2"/>
        <w:rPr>
          <w:rFonts w:ascii="宋体"/>
          <w:b/>
          <w:bCs/>
          <w:sz w:val="28"/>
          <w:szCs w:val="28"/>
        </w:rPr>
      </w:pPr>
    </w:p>
    <w:p w14:paraId="06409775">
      <w:pPr>
        <w:pStyle w:val="4"/>
        <w:rPr>
          <w:rFonts w:ascii="宋体"/>
          <w:b/>
          <w:bCs/>
          <w:sz w:val="28"/>
          <w:szCs w:val="28"/>
        </w:rPr>
      </w:pPr>
    </w:p>
    <w:p w14:paraId="1988C2A9">
      <w:pPr>
        <w:pStyle w:val="4"/>
        <w:rPr>
          <w:rFonts w:ascii="宋体"/>
          <w:b/>
          <w:bCs/>
          <w:sz w:val="28"/>
          <w:szCs w:val="28"/>
        </w:rPr>
      </w:pPr>
    </w:p>
    <w:p w14:paraId="1469ED30">
      <w:pPr>
        <w:pStyle w:val="4"/>
        <w:rPr>
          <w:rFonts w:ascii="宋体"/>
          <w:b/>
          <w:bCs/>
          <w:sz w:val="28"/>
          <w:szCs w:val="28"/>
        </w:rPr>
      </w:pPr>
    </w:p>
    <w:p w14:paraId="53F87F29">
      <w:pPr>
        <w:pStyle w:val="4"/>
        <w:rPr>
          <w:rFonts w:ascii="宋体"/>
          <w:b/>
          <w:bCs/>
          <w:sz w:val="28"/>
          <w:szCs w:val="28"/>
        </w:rPr>
      </w:pPr>
    </w:p>
    <w:p w14:paraId="59806C1C">
      <w:pPr>
        <w:pStyle w:val="4"/>
        <w:rPr>
          <w:rFonts w:ascii="宋体"/>
          <w:b/>
          <w:bCs/>
          <w:sz w:val="28"/>
          <w:szCs w:val="28"/>
        </w:rPr>
      </w:pPr>
    </w:p>
    <w:p w14:paraId="3300156B">
      <w:pPr>
        <w:pStyle w:val="4"/>
        <w:rPr>
          <w:rFonts w:ascii="宋体"/>
          <w:b/>
          <w:bCs/>
          <w:sz w:val="28"/>
          <w:szCs w:val="28"/>
        </w:rPr>
      </w:pPr>
    </w:p>
    <w:p w14:paraId="6826764C">
      <w:pPr>
        <w:pStyle w:val="4"/>
        <w:rPr>
          <w:rFonts w:ascii="宋体"/>
          <w:b/>
          <w:bCs/>
          <w:sz w:val="28"/>
          <w:szCs w:val="28"/>
        </w:rPr>
      </w:pPr>
    </w:p>
    <w:p w14:paraId="0B8233A5">
      <w:pPr>
        <w:pStyle w:val="4"/>
        <w:rPr>
          <w:rFonts w:ascii="宋体"/>
          <w:b/>
          <w:bCs/>
          <w:sz w:val="28"/>
          <w:szCs w:val="28"/>
        </w:rPr>
      </w:pPr>
    </w:p>
    <w:p w14:paraId="2843CEE1">
      <w:pPr>
        <w:pStyle w:val="4"/>
        <w:rPr>
          <w:rFonts w:ascii="宋体"/>
          <w:b/>
          <w:bCs/>
          <w:sz w:val="28"/>
          <w:szCs w:val="28"/>
        </w:rPr>
      </w:pPr>
    </w:p>
    <w:p w14:paraId="47FF71C9">
      <w:pPr>
        <w:pStyle w:val="4"/>
        <w:rPr>
          <w:rFonts w:ascii="宋体"/>
          <w:b/>
          <w:bCs/>
          <w:sz w:val="28"/>
          <w:szCs w:val="28"/>
        </w:rPr>
      </w:pPr>
    </w:p>
    <w:p w14:paraId="626B83F7">
      <w:pPr>
        <w:pStyle w:val="4"/>
        <w:rPr>
          <w:rFonts w:ascii="宋体"/>
          <w:b/>
          <w:bCs/>
          <w:sz w:val="28"/>
          <w:szCs w:val="28"/>
        </w:rPr>
      </w:pPr>
    </w:p>
    <w:p w14:paraId="4ADC5CF2">
      <w:pPr>
        <w:pStyle w:val="4"/>
        <w:rPr>
          <w:rFonts w:ascii="宋体"/>
          <w:b/>
          <w:bCs/>
          <w:sz w:val="28"/>
          <w:szCs w:val="28"/>
        </w:rPr>
      </w:pPr>
    </w:p>
    <w:p w14:paraId="704630AB">
      <w:pPr>
        <w:snapToGrid w:val="0"/>
        <w:spacing w:line="360" w:lineRule="auto"/>
        <w:jc w:val="center"/>
        <w:outlineLvl w:val="0"/>
        <w:rPr>
          <w:rFonts w:hint="eastAsia" w:ascii="宋体" w:hAnsi="宋体" w:cs="宋体"/>
          <w:b/>
          <w:bCs/>
          <w:sz w:val="28"/>
          <w:szCs w:val="28"/>
        </w:rPr>
      </w:pPr>
      <w:bookmarkStart w:id="85" w:name="_Toc19146"/>
      <w:r>
        <w:rPr>
          <w:rFonts w:hint="eastAsia" w:ascii="宋体" w:hAnsi="宋体" w:cs="宋体"/>
          <w:b/>
          <w:bCs/>
          <w:sz w:val="28"/>
          <w:szCs w:val="28"/>
        </w:rPr>
        <w:t>第四部分 合同条款</w:t>
      </w:r>
      <w:bookmarkEnd w:id="85"/>
    </w:p>
    <w:p w14:paraId="731B2B68">
      <w:pPr>
        <w:jc w:val="left"/>
      </w:pPr>
    </w:p>
    <w:p w14:paraId="6B3D7E80">
      <w:r>
        <w:rPr>
          <w:rFonts w:hint="eastAsia"/>
        </w:rPr>
        <w:br w:type="page"/>
      </w:r>
    </w:p>
    <w:p w14:paraId="2ADA2C91">
      <w:pPr>
        <w:pStyle w:val="4"/>
        <w:jc w:val="center"/>
        <w:rPr>
          <w:rFonts w:hint="eastAsia" w:ascii="楷体" w:hAnsi="楷体" w:eastAsia="楷体" w:cs="Times New Roman"/>
          <w:color w:val="auto"/>
          <w:sz w:val="24"/>
          <w:szCs w:val="24"/>
        </w:rPr>
      </w:pPr>
      <w:r>
        <w:rPr>
          <w:rFonts w:hint="eastAsia" w:ascii="楷体" w:hAnsi="楷体" w:eastAsia="楷体" w:cs="Times New Roman"/>
          <w:color w:val="auto"/>
          <w:sz w:val="24"/>
          <w:szCs w:val="24"/>
          <w:lang w:eastAsia="zh-CN"/>
        </w:rPr>
        <w:t>重庆市工程管理有限公司审计服务采购（第二次）</w:t>
      </w:r>
      <w:r>
        <w:rPr>
          <w:rFonts w:hint="eastAsia" w:ascii="楷体" w:hAnsi="楷体" w:eastAsia="楷体" w:cs="Times New Roman"/>
          <w:color w:val="auto"/>
          <w:sz w:val="24"/>
          <w:szCs w:val="24"/>
        </w:rPr>
        <w:t>合同</w:t>
      </w:r>
    </w:p>
    <w:p w14:paraId="24BC3176">
      <w:pPr>
        <w:pStyle w:val="4"/>
        <w:ind w:firstLine="7920" w:firstLineChars="3300"/>
        <w:rPr>
          <w:rFonts w:hint="eastAsia" w:ascii="楷体" w:hAnsi="楷体" w:eastAsia="楷体" w:cs="Times New Roman"/>
          <w:color w:val="auto"/>
          <w:sz w:val="24"/>
          <w:szCs w:val="24"/>
        </w:rPr>
      </w:pPr>
    </w:p>
    <w:p w14:paraId="6B8ED44E">
      <w:pPr>
        <w:pStyle w:val="4"/>
        <w:ind w:firstLine="7440" w:firstLineChars="3100"/>
        <w:rPr>
          <w:rFonts w:hint="eastAsia" w:ascii="楷体" w:hAnsi="楷体" w:eastAsia="楷体" w:cs="Times New Roman"/>
          <w:color w:val="auto"/>
          <w:sz w:val="24"/>
          <w:szCs w:val="24"/>
        </w:rPr>
      </w:pPr>
      <w:r>
        <w:rPr>
          <w:rFonts w:hint="eastAsia" w:ascii="楷体" w:hAnsi="楷体" w:eastAsia="楷体" w:cs="Times New Roman"/>
          <w:color w:val="auto"/>
          <w:sz w:val="24"/>
          <w:szCs w:val="24"/>
        </w:rPr>
        <w:t>合同编号：</w:t>
      </w:r>
    </w:p>
    <w:p w14:paraId="643D04D4">
      <w:pPr>
        <w:pStyle w:val="4"/>
        <w:rPr>
          <w:rFonts w:hint="eastAsia" w:ascii="楷体" w:hAnsi="楷体" w:eastAsia="楷体" w:cs="Times New Roman"/>
          <w:color w:val="auto"/>
          <w:sz w:val="24"/>
          <w:szCs w:val="24"/>
        </w:rPr>
      </w:pPr>
    </w:p>
    <w:p w14:paraId="4AD6A9DE">
      <w:pPr>
        <w:pStyle w:val="4"/>
        <w:rPr>
          <w:rFonts w:hint="eastAsia" w:ascii="楷体" w:hAnsi="楷体" w:eastAsia="楷体" w:cs="Times New Roman"/>
          <w:color w:val="auto"/>
          <w:sz w:val="24"/>
          <w:szCs w:val="24"/>
        </w:rPr>
      </w:pPr>
    </w:p>
    <w:p w14:paraId="484D53B4">
      <w:pPr>
        <w:pStyle w:val="4"/>
        <w:rPr>
          <w:rFonts w:hint="eastAsia" w:ascii="楷体" w:hAnsi="楷体" w:eastAsia="楷体" w:cs="Times New Roman"/>
          <w:color w:val="auto"/>
          <w:sz w:val="24"/>
          <w:szCs w:val="24"/>
        </w:rPr>
      </w:pPr>
      <w:r>
        <w:rPr>
          <w:rFonts w:hint="eastAsia" w:ascii="楷体" w:hAnsi="楷体" w:eastAsia="楷体" w:cs="Times New Roman"/>
          <w:color w:val="auto"/>
          <w:sz w:val="24"/>
          <w:szCs w:val="24"/>
        </w:rPr>
        <w:t>甲方（全称）：</w:t>
      </w:r>
    </w:p>
    <w:p w14:paraId="662ACF1B">
      <w:pPr>
        <w:pStyle w:val="4"/>
        <w:rPr>
          <w:rFonts w:hint="eastAsia" w:ascii="楷体" w:hAnsi="楷体" w:eastAsia="楷体" w:cs="Times New Roman"/>
          <w:color w:val="auto"/>
          <w:sz w:val="24"/>
          <w:szCs w:val="24"/>
        </w:rPr>
      </w:pPr>
      <w:r>
        <w:rPr>
          <w:rFonts w:hint="eastAsia" w:ascii="楷体" w:hAnsi="楷体" w:eastAsia="楷体" w:cs="Times New Roman"/>
          <w:color w:val="auto"/>
          <w:sz w:val="24"/>
          <w:szCs w:val="24"/>
        </w:rPr>
        <w:t>统一社会信用代码：</w:t>
      </w:r>
    </w:p>
    <w:p w14:paraId="6AFF99F4">
      <w:pPr>
        <w:pStyle w:val="4"/>
        <w:rPr>
          <w:rFonts w:hint="eastAsia" w:ascii="楷体" w:hAnsi="楷体" w:eastAsia="楷体" w:cs="Times New Roman"/>
          <w:color w:val="auto"/>
          <w:sz w:val="24"/>
          <w:szCs w:val="24"/>
        </w:rPr>
      </w:pPr>
      <w:r>
        <w:rPr>
          <w:rFonts w:hint="eastAsia" w:ascii="楷体" w:hAnsi="楷体" w:eastAsia="楷体" w:cs="Times New Roman"/>
          <w:color w:val="auto"/>
          <w:sz w:val="24"/>
          <w:szCs w:val="24"/>
        </w:rPr>
        <w:t>联系地址：</w:t>
      </w:r>
    </w:p>
    <w:p w14:paraId="34A72D8F">
      <w:pPr>
        <w:pStyle w:val="4"/>
        <w:rPr>
          <w:rFonts w:hint="eastAsia" w:ascii="楷体" w:hAnsi="楷体" w:eastAsia="楷体" w:cs="Times New Roman"/>
          <w:color w:val="auto"/>
          <w:sz w:val="24"/>
          <w:szCs w:val="24"/>
        </w:rPr>
      </w:pPr>
      <w:r>
        <w:rPr>
          <w:rFonts w:hint="eastAsia" w:ascii="楷体" w:hAnsi="楷体" w:eastAsia="楷体" w:cs="Times New Roman"/>
          <w:color w:val="auto"/>
          <w:sz w:val="24"/>
          <w:szCs w:val="24"/>
        </w:rPr>
        <w:t>联系人：</w:t>
      </w:r>
    </w:p>
    <w:p w14:paraId="53E7A43E">
      <w:pPr>
        <w:pStyle w:val="4"/>
        <w:rPr>
          <w:rFonts w:hint="eastAsia" w:ascii="楷体" w:hAnsi="楷体" w:eastAsia="楷体" w:cs="Times New Roman"/>
          <w:color w:val="auto"/>
          <w:sz w:val="24"/>
          <w:szCs w:val="24"/>
        </w:rPr>
      </w:pPr>
      <w:r>
        <w:rPr>
          <w:rFonts w:hint="eastAsia" w:ascii="楷体" w:hAnsi="楷体" w:eastAsia="楷体" w:cs="Times New Roman"/>
          <w:color w:val="auto"/>
          <w:sz w:val="24"/>
          <w:szCs w:val="24"/>
        </w:rPr>
        <w:t>联系电话：</w:t>
      </w:r>
    </w:p>
    <w:p w14:paraId="77BD5C3A">
      <w:pPr>
        <w:pStyle w:val="4"/>
        <w:rPr>
          <w:rFonts w:hint="eastAsia" w:ascii="楷体" w:hAnsi="楷体" w:eastAsia="楷体" w:cs="Times New Roman"/>
          <w:color w:val="auto"/>
          <w:sz w:val="24"/>
          <w:szCs w:val="24"/>
        </w:rPr>
      </w:pPr>
    </w:p>
    <w:p w14:paraId="38922523">
      <w:pPr>
        <w:pStyle w:val="4"/>
        <w:rPr>
          <w:rFonts w:hint="eastAsia" w:ascii="楷体" w:hAnsi="楷体" w:eastAsia="楷体" w:cs="Times New Roman"/>
          <w:color w:val="auto"/>
          <w:sz w:val="24"/>
          <w:szCs w:val="24"/>
        </w:rPr>
      </w:pPr>
      <w:r>
        <w:rPr>
          <w:rFonts w:hint="eastAsia" w:ascii="楷体" w:hAnsi="楷体" w:eastAsia="楷体" w:cs="Times New Roman"/>
          <w:color w:val="auto"/>
          <w:sz w:val="24"/>
          <w:szCs w:val="24"/>
        </w:rPr>
        <w:t>乙方（全称）：</w:t>
      </w:r>
    </w:p>
    <w:p w14:paraId="0DE48AE0">
      <w:pPr>
        <w:pStyle w:val="4"/>
        <w:rPr>
          <w:rFonts w:hint="eastAsia" w:ascii="楷体" w:hAnsi="楷体" w:eastAsia="楷体" w:cs="Times New Roman"/>
          <w:color w:val="auto"/>
          <w:sz w:val="24"/>
          <w:szCs w:val="24"/>
        </w:rPr>
      </w:pPr>
      <w:r>
        <w:rPr>
          <w:rFonts w:hint="eastAsia" w:ascii="楷体" w:hAnsi="楷体" w:eastAsia="楷体" w:cs="Times New Roman"/>
          <w:color w:val="auto"/>
          <w:sz w:val="24"/>
          <w:szCs w:val="24"/>
        </w:rPr>
        <w:t>统一社会信用代码：</w:t>
      </w:r>
    </w:p>
    <w:p w14:paraId="1589D5B1">
      <w:pPr>
        <w:pStyle w:val="4"/>
        <w:rPr>
          <w:rFonts w:hint="eastAsia" w:ascii="楷体" w:hAnsi="楷体" w:eastAsia="楷体" w:cs="Times New Roman"/>
          <w:color w:val="auto"/>
          <w:sz w:val="24"/>
          <w:szCs w:val="24"/>
        </w:rPr>
      </w:pPr>
      <w:r>
        <w:rPr>
          <w:rFonts w:hint="eastAsia" w:ascii="楷体" w:hAnsi="楷体" w:eastAsia="楷体" w:cs="Times New Roman"/>
          <w:color w:val="auto"/>
          <w:sz w:val="24"/>
          <w:szCs w:val="24"/>
        </w:rPr>
        <w:t>联系地址：</w:t>
      </w:r>
    </w:p>
    <w:p w14:paraId="190DD083">
      <w:pPr>
        <w:pStyle w:val="4"/>
        <w:rPr>
          <w:rFonts w:hint="eastAsia" w:ascii="楷体" w:hAnsi="楷体" w:eastAsia="楷体" w:cs="Times New Roman"/>
          <w:color w:val="auto"/>
          <w:sz w:val="24"/>
          <w:szCs w:val="24"/>
        </w:rPr>
      </w:pPr>
      <w:r>
        <w:rPr>
          <w:rFonts w:hint="eastAsia" w:ascii="楷体" w:hAnsi="楷体" w:eastAsia="楷体" w:cs="Times New Roman"/>
          <w:color w:val="auto"/>
          <w:sz w:val="24"/>
          <w:szCs w:val="24"/>
        </w:rPr>
        <w:t>联系人：</w:t>
      </w:r>
    </w:p>
    <w:p w14:paraId="6C305141">
      <w:pPr>
        <w:pStyle w:val="4"/>
        <w:rPr>
          <w:rFonts w:hint="eastAsia" w:ascii="楷体" w:hAnsi="楷体" w:eastAsia="楷体" w:cs="Times New Roman"/>
          <w:color w:val="auto"/>
          <w:sz w:val="24"/>
          <w:szCs w:val="24"/>
        </w:rPr>
      </w:pPr>
      <w:r>
        <w:rPr>
          <w:rFonts w:hint="eastAsia" w:ascii="楷体" w:hAnsi="楷体" w:eastAsia="楷体" w:cs="Times New Roman"/>
          <w:color w:val="auto"/>
          <w:sz w:val="24"/>
          <w:szCs w:val="24"/>
        </w:rPr>
        <w:t>联系电话：</w:t>
      </w:r>
    </w:p>
    <w:p w14:paraId="03D5FA88">
      <w:pPr>
        <w:pStyle w:val="4"/>
        <w:rPr>
          <w:rFonts w:hint="eastAsia" w:ascii="楷体" w:hAnsi="楷体" w:eastAsia="楷体" w:cs="Times New Roman"/>
          <w:color w:val="auto"/>
          <w:sz w:val="24"/>
          <w:szCs w:val="24"/>
        </w:rPr>
      </w:pPr>
    </w:p>
    <w:p w14:paraId="066F7D23">
      <w:pPr>
        <w:pStyle w:val="4"/>
        <w:rPr>
          <w:rFonts w:hint="eastAsia" w:ascii="楷体" w:hAnsi="楷体" w:eastAsia="楷体" w:cs="Times New Roman"/>
          <w:color w:val="auto"/>
          <w:sz w:val="24"/>
          <w:szCs w:val="24"/>
        </w:rPr>
      </w:pPr>
    </w:p>
    <w:p w14:paraId="6CB31CD4">
      <w:pPr>
        <w:pStyle w:val="4"/>
        <w:rPr>
          <w:rFonts w:hint="eastAsia" w:ascii="楷体" w:hAnsi="楷体" w:eastAsia="楷体" w:cs="Times New Roman"/>
          <w:color w:val="auto"/>
          <w:sz w:val="24"/>
          <w:szCs w:val="24"/>
        </w:rPr>
      </w:pPr>
      <w:r>
        <w:rPr>
          <w:rFonts w:hint="eastAsia" w:ascii="楷体" w:hAnsi="楷体" w:eastAsia="楷体" w:cs="Times New Roman"/>
          <w:color w:val="auto"/>
          <w:sz w:val="24"/>
          <w:szCs w:val="24"/>
        </w:rPr>
        <w:t>根据《中华人民共和国民法典》和相关法律、法规、规章的规定，甲乙双方遵循自愿、公平、诚实信用的原则，就甲方委托乙方提供</w:t>
      </w:r>
      <w:r>
        <w:rPr>
          <w:rFonts w:hint="eastAsia" w:ascii="楷体" w:hAnsi="楷体" w:eastAsia="楷体" w:cs="Times New Roman"/>
          <w:color w:val="auto"/>
          <w:sz w:val="24"/>
          <w:szCs w:val="24"/>
          <w:lang w:val="en-US" w:eastAsia="zh-CN"/>
        </w:rPr>
        <w:t>审计服</w:t>
      </w:r>
      <w:r>
        <w:rPr>
          <w:rFonts w:hint="eastAsia" w:ascii="楷体" w:hAnsi="楷体" w:eastAsia="楷体" w:cs="Times New Roman"/>
          <w:color w:val="auto"/>
          <w:sz w:val="24"/>
          <w:szCs w:val="24"/>
        </w:rPr>
        <w:t>务相关事宜达成一致，</w:t>
      </w:r>
      <w:r>
        <w:rPr>
          <w:rFonts w:ascii="楷体" w:hAnsi="楷体" w:eastAsia="楷体" w:cs="Times New Roman"/>
          <w:color w:val="auto"/>
          <w:sz w:val="24"/>
          <w:szCs w:val="24"/>
        </w:rPr>
        <w:t>签订</w:t>
      </w:r>
      <w:r>
        <w:rPr>
          <w:rFonts w:hint="eastAsia" w:ascii="楷体" w:hAnsi="楷体" w:eastAsia="楷体" w:cs="Times New Roman"/>
          <w:color w:val="auto"/>
          <w:sz w:val="24"/>
          <w:szCs w:val="24"/>
        </w:rPr>
        <w:t>本约定书，</w:t>
      </w:r>
      <w:r>
        <w:rPr>
          <w:rFonts w:ascii="楷体" w:hAnsi="楷体" w:eastAsia="楷体" w:cs="Times New Roman"/>
          <w:color w:val="auto"/>
          <w:sz w:val="24"/>
          <w:szCs w:val="24"/>
        </w:rPr>
        <w:t>以资共同信守</w:t>
      </w:r>
      <w:r>
        <w:rPr>
          <w:rFonts w:hint="eastAsia" w:ascii="楷体" w:hAnsi="楷体" w:eastAsia="楷体" w:cs="Times New Roman"/>
          <w:color w:val="auto"/>
          <w:sz w:val="24"/>
          <w:szCs w:val="24"/>
        </w:rPr>
        <w:t>。</w:t>
      </w:r>
    </w:p>
    <w:p w14:paraId="37CEA4EF">
      <w:pPr>
        <w:pStyle w:val="4"/>
        <w:ind w:firstLine="482"/>
        <w:rPr>
          <w:rFonts w:hint="eastAsia" w:ascii="楷体" w:hAnsi="楷体" w:eastAsia="楷体" w:cs="Times New Roman"/>
          <w:color w:val="auto"/>
          <w:sz w:val="24"/>
          <w:szCs w:val="24"/>
        </w:rPr>
      </w:pPr>
      <w:r>
        <w:rPr>
          <w:rFonts w:hint="eastAsia" w:ascii="楷体" w:hAnsi="楷体" w:eastAsia="楷体" w:cs="Times New Roman"/>
          <w:b/>
          <w:bCs/>
          <w:color w:val="auto"/>
          <w:sz w:val="24"/>
          <w:szCs w:val="24"/>
        </w:rPr>
        <w:t>一、委托事项</w:t>
      </w:r>
    </w:p>
    <w:p w14:paraId="430DD5B7">
      <w:pPr>
        <w:pStyle w:val="4"/>
        <w:rPr>
          <w:rFonts w:hint="eastAsia" w:ascii="楷体" w:hAnsi="楷体" w:eastAsia="楷体" w:cs="Times New Roman"/>
          <w:color w:val="auto"/>
          <w:sz w:val="24"/>
          <w:szCs w:val="24"/>
        </w:rPr>
      </w:pPr>
      <w:r>
        <w:rPr>
          <w:rFonts w:hint="eastAsia" w:ascii="楷体" w:hAnsi="楷体" w:eastAsia="楷体" w:cs="Times New Roman"/>
          <w:color w:val="auto"/>
          <w:sz w:val="24"/>
          <w:szCs w:val="24"/>
        </w:rPr>
        <w:t>（一）服务内容</w:t>
      </w:r>
    </w:p>
    <w:p w14:paraId="777EC197">
      <w:pPr>
        <w:pStyle w:val="4"/>
        <w:rPr>
          <w:rFonts w:hint="eastAsia" w:ascii="楷体" w:hAnsi="楷体" w:eastAsia="楷体" w:cs="Times New Roman"/>
          <w:color w:val="auto"/>
          <w:sz w:val="24"/>
          <w:szCs w:val="24"/>
        </w:rPr>
      </w:pPr>
      <w:r>
        <w:rPr>
          <w:rFonts w:hint="eastAsia" w:ascii="楷体" w:hAnsi="楷体" w:eastAsia="楷体" w:cs="Times New Roman"/>
          <w:color w:val="auto"/>
          <w:sz w:val="24"/>
          <w:szCs w:val="24"/>
        </w:rPr>
        <w:t>服务主要内容包括：</w:t>
      </w:r>
    </w:p>
    <w:p w14:paraId="208A2083">
      <w:pPr>
        <w:spacing w:line="360" w:lineRule="auto"/>
        <w:ind w:firstLine="480" w:firstLineChars="200"/>
        <w:jc w:val="left"/>
        <w:rPr>
          <w:rFonts w:hint="eastAsia" w:ascii="楷体" w:hAnsi="楷体" w:eastAsia="楷体" w:cs="Times New Roman"/>
          <w:color w:val="auto"/>
          <w:kern w:val="2"/>
          <w:sz w:val="24"/>
          <w:szCs w:val="24"/>
          <w:lang w:val="en-US" w:eastAsia="zh-CN" w:bidi="ar-SA"/>
        </w:rPr>
      </w:pPr>
      <w:r>
        <w:rPr>
          <w:rFonts w:hint="eastAsia" w:ascii="楷体" w:hAnsi="楷体" w:eastAsia="楷体" w:cs="Times New Roman"/>
          <w:color w:val="auto"/>
          <w:kern w:val="2"/>
          <w:sz w:val="24"/>
          <w:szCs w:val="24"/>
          <w:lang w:val="en-US" w:eastAsia="zh-CN" w:bidi="ar-SA"/>
        </w:rPr>
        <w:t>1、审计专项服务。（1）开展6项经济责任审计，核查领导人员任职期间贯彻落实国家经济政策、企业战略执行、重大经济决策、法人治理与内控建设、财务收支真实合法效益、风险管控、国有资产保值增值、经营考核完成、薪酬分配、党风廉政建设、参股投资及关联交易、历史审计问题整改等事项，出具规范正式审计报告及全套工作底稿；（2）开展1项项目专项审计，核查项目合同履约、工程质量安全、项目进度管控、现场用工管理情况，出具规范正式审计报告及全套工作底稿。</w:t>
      </w:r>
    </w:p>
    <w:p w14:paraId="76B118C7">
      <w:pPr>
        <w:spacing w:line="360" w:lineRule="auto"/>
        <w:ind w:firstLine="480" w:firstLineChars="200"/>
        <w:jc w:val="left"/>
        <w:rPr>
          <w:rFonts w:hint="eastAsia" w:ascii="楷体" w:hAnsi="楷体" w:eastAsia="楷体" w:cs="Times New Roman"/>
          <w:color w:val="auto"/>
          <w:kern w:val="2"/>
          <w:sz w:val="24"/>
          <w:szCs w:val="24"/>
          <w:lang w:val="en-US" w:eastAsia="zh-CN" w:bidi="ar-SA"/>
        </w:rPr>
      </w:pPr>
      <w:r>
        <w:rPr>
          <w:rFonts w:hint="eastAsia" w:ascii="楷体" w:hAnsi="楷体" w:eastAsia="楷体" w:cs="Times New Roman"/>
          <w:color w:val="auto"/>
          <w:kern w:val="2"/>
          <w:sz w:val="24"/>
          <w:szCs w:val="24"/>
          <w:lang w:val="en-US" w:eastAsia="zh-CN" w:bidi="ar-SA"/>
        </w:rPr>
        <w:t>2、配套支撑服务。提供现场审计、底稿取证、资料答疑；协助梳理整改事项，出具问题优化建议材料。</w:t>
      </w:r>
    </w:p>
    <w:p w14:paraId="3489EC00">
      <w:pPr>
        <w:pStyle w:val="4"/>
        <w:rPr>
          <w:rFonts w:hint="eastAsia" w:ascii="楷体" w:hAnsi="楷体" w:eastAsia="楷体" w:cs="Times New Roman"/>
          <w:color w:val="auto"/>
          <w:kern w:val="2"/>
          <w:sz w:val="24"/>
          <w:szCs w:val="24"/>
          <w:lang w:val="en-US" w:eastAsia="zh-CN" w:bidi="ar-SA"/>
        </w:rPr>
      </w:pPr>
      <w:r>
        <w:rPr>
          <w:rFonts w:hint="eastAsia" w:ascii="楷体" w:hAnsi="楷体" w:eastAsia="楷体" w:cs="Times New Roman"/>
          <w:color w:val="auto"/>
          <w:kern w:val="2"/>
          <w:sz w:val="24"/>
          <w:szCs w:val="24"/>
          <w:lang w:val="en-US" w:eastAsia="zh-CN" w:bidi="ar-SA"/>
        </w:rPr>
        <w:t>3、服务期：从合同签订之日起至2026年年底前完成全部7个审计项目。</w:t>
      </w:r>
    </w:p>
    <w:p w14:paraId="35462FBB">
      <w:pPr>
        <w:pStyle w:val="4"/>
        <w:rPr>
          <w:rFonts w:hint="eastAsia" w:ascii="楷体" w:hAnsi="楷体" w:eastAsia="楷体" w:cs="Times New Roman"/>
          <w:color w:val="auto"/>
          <w:sz w:val="24"/>
          <w:szCs w:val="24"/>
          <w:highlight w:val="none"/>
        </w:rPr>
      </w:pPr>
      <w:r>
        <w:rPr>
          <w:rFonts w:hint="eastAsia" w:ascii="楷体" w:hAnsi="楷体" w:eastAsia="楷体" w:cs="Times New Roman"/>
          <w:color w:val="auto"/>
          <w:sz w:val="24"/>
          <w:szCs w:val="24"/>
          <w:highlight w:val="none"/>
        </w:rPr>
        <w:t>（二）服务期限</w:t>
      </w:r>
    </w:p>
    <w:p w14:paraId="516C8AD7">
      <w:pPr>
        <w:pStyle w:val="4"/>
        <w:ind w:firstLine="482"/>
        <w:rPr>
          <w:rFonts w:hint="eastAsia" w:ascii="楷体" w:hAnsi="楷体" w:eastAsia="楷体" w:cs="Times New Roman"/>
          <w:color w:val="auto"/>
          <w:sz w:val="24"/>
          <w:szCs w:val="24"/>
        </w:rPr>
      </w:pPr>
      <w:r>
        <w:rPr>
          <w:rFonts w:hint="eastAsia" w:ascii="楷体" w:hAnsi="楷体" w:eastAsia="楷体" w:cs="Times New Roman"/>
          <w:color w:val="auto"/>
          <w:sz w:val="24"/>
          <w:szCs w:val="24"/>
        </w:rPr>
        <w:t>从合同签订之日起至2026年年底前完成全部7个审计项目。</w:t>
      </w:r>
    </w:p>
    <w:p w14:paraId="20C8CFCC">
      <w:pPr>
        <w:pStyle w:val="4"/>
        <w:ind w:firstLine="482"/>
        <w:rPr>
          <w:rFonts w:hint="eastAsia" w:ascii="楷体" w:hAnsi="楷体" w:eastAsia="楷体" w:cs="Times New Roman"/>
          <w:color w:val="auto"/>
          <w:sz w:val="24"/>
          <w:szCs w:val="24"/>
        </w:rPr>
      </w:pPr>
      <w:r>
        <w:rPr>
          <w:rFonts w:hint="eastAsia" w:ascii="楷体" w:hAnsi="楷体" w:eastAsia="楷体" w:cs="Times New Roman"/>
          <w:b/>
          <w:bCs/>
          <w:color w:val="auto"/>
          <w:sz w:val="24"/>
          <w:szCs w:val="24"/>
        </w:rPr>
        <w:t>二、费用及支付方式</w:t>
      </w:r>
    </w:p>
    <w:p w14:paraId="13DE0FE6">
      <w:pPr>
        <w:pStyle w:val="4"/>
        <w:rPr>
          <w:rFonts w:hint="eastAsia" w:ascii="楷体" w:hAnsi="楷体" w:eastAsia="楷体" w:cs="Times New Roman"/>
          <w:color w:val="auto"/>
          <w:sz w:val="24"/>
          <w:szCs w:val="24"/>
        </w:rPr>
      </w:pPr>
      <w:r>
        <w:rPr>
          <w:rFonts w:hint="eastAsia" w:ascii="楷体" w:hAnsi="楷体" w:eastAsia="楷体" w:cs="Times New Roman"/>
          <w:color w:val="auto"/>
          <w:sz w:val="24"/>
          <w:szCs w:val="24"/>
        </w:rPr>
        <w:t>（一）服务费用</w:t>
      </w:r>
    </w:p>
    <w:p w14:paraId="616CDCB9">
      <w:pPr>
        <w:pStyle w:val="4"/>
        <w:rPr>
          <w:rFonts w:hint="eastAsia" w:ascii="楷体" w:hAnsi="楷体" w:eastAsia="楷体" w:cs="Times New Roman"/>
          <w:color w:val="auto"/>
          <w:sz w:val="24"/>
          <w:szCs w:val="24"/>
        </w:rPr>
      </w:pPr>
      <w:r>
        <w:rPr>
          <w:rFonts w:hint="eastAsia" w:ascii="楷体" w:hAnsi="楷体" w:eastAsia="楷体" w:cs="Times New Roman"/>
          <w:color w:val="auto"/>
          <w:sz w:val="24"/>
          <w:szCs w:val="24"/>
        </w:rPr>
        <w:t>木次服务费用总额为含税包干价           元（大写：            ）。</w:t>
      </w:r>
    </w:p>
    <w:p w14:paraId="79EFCC80">
      <w:pPr>
        <w:pStyle w:val="4"/>
        <w:rPr>
          <w:rFonts w:hint="eastAsia" w:ascii="楷体" w:hAnsi="楷体" w:eastAsia="楷体" w:cs="Times New Roman"/>
          <w:color w:val="auto"/>
          <w:sz w:val="24"/>
          <w:szCs w:val="24"/>
        </w:rPr>
      </w:pPr>
      <w:r>
        <w:rPr>
          <w:rFonts w:hint="eastAsia" w:ascii="楷体" w:hAnsi="楷体" w:eastAsia="楷体" w:cs="Times New Roman"/>
          <w:color w:val="auto"/>
          <w:sz w:val="24"/>
          <w:szCs w:val="24"/>
        </w:rPr>
        <w:t>（二）支付方式</w:t>
      </w:r>
    </w:p>
    <w:p w14:paraId="2E0BA98B">
      <w:pPr>
        <w:pStyle w:val="4"/>
        <w:rPr>
          <w:rFonts w:hint="eastAsia" w:ascii="楷体" w:hAnsi="楷体" w:eastAsia="楷体" w:cs="Times New Roman"/>
          <w:color w:val="auto"/>
          <w:sz w:val="24"/>
          <w:szCs w:val="24"/>
        </w:rPr>
      </w:pPr>
      <w:r>
        <w:rPr>
          <w:rFonts w:hint="eastAsia" w:ascii="楷体" w:hAnsi="楷体" w:eastAsia="楷体" w:cs="Times New Roman"/>
          <w:color w:val="auto"/>
          <w:sz w:val="24"/>
          <w:szCs w:val="24"/>
        </w:rPr>
        <w:t>全部7项审计项目出具完整正式审计报告，并经采购人审定同意后，由中标中介机构开具合法合规增值税专用发票；公司收到合规发票后30日内，一次性支付全部包干审计服务费用。</w:t>
      </w:r>
    </w:p>
    <w:p w14:paraId="7A63216C">
      <w:pPr>
        <w:pStyle w:val="4"/>
        <w:rPr>
          <w:rFonts w:hint="eastAsia" w:ascii="楷体" w:hAnsi="楷体" w:eastAsia="楷体" w:cs="Times New Roman"/>
          <w:color w:val="auto"/>
          <w:sz w:val="24"/>
          <w:szCs w:val="24"/>
        </w:rPr>
      </w:pPr>
      <w:r>
        <w:rPr>
          <w:rFonts w:hint="eastAsia" w:ascii="楷体" w:hAnsi="楷体" w:eastAsia="楷体" w:cs="Times New Roman"/>
          <w:color w:val="auto"/>
          <w:sz w:val="24"/>
          <w:szCs w:val="24"/>
        </w:rPr>
        <w:t>（三）乙方收款账户信息</w:t>
      </w:r>
    </w:p>
    <w:p w14:paraId="406642C5">
      <w:pPr>
        <w:pStyle w:val="4"/>
        <w:rPr>
          <w:rFonts w:hint="eastAsia" w:ascii="楷体" w:hAnsi="楷体" w:eastAsia="楷体" w:cs="Times New Roman"/>
          <w:color w:val="auto"/>
          <w:sz w:val="24"/>
          <w:szCs w:val="24"/>
        </w:rPr>
      </w:pPr>
      <w:r>
        <w:rPr>
          <w:rFonts w:hint="eastAsia" w:ascii="楷体" w:hAnsi="楷体" w:eastAsia="楷体" w:cs="Times New Roman"/>
          <w:color w:val="auto"/>
          <w:sz w:val="24"/>
          <w:szCs w:val="24"/>
        </w:rPr>
        <w:t>乙方指定以下账户为收款账户：</w:t>
      </w:r>
    </w:p>
    <w:p w14:paraId="4AC04AA5">
      <w:pPr>
        <w:pStyle w:val="4"/>
        <w:rPr>
          <w:rFonts w:hint="eastAsia" w:ascii="楷体" w:hAnsi="楷体" w:eastAsia="楷体" w:cs="Times New Roman"/>
          <w:color w:val="auto"/>
          <w:sz w:val="24"/>
          <w:szCs w:val="24"/>
        </w:rPr>
      </w:pPr>
      <w:r>
        <w:rPr>
          <w:rFonts w:hint="eastAsia" w:ascii="楷体" w:hAnsi="楷体" w:eastAsia="楷体" w:cs="Times New Roman"/>
          <w:color w:val="auto"/>
          <w:sz w:val="24"/>
          <w:szCs w:val="24"/>
        </w:rPr>
        <w:t>户 名：</w:t>
      </w:r>
    </w:p>
    <w:p w14:paraId="02713D0D">
      <w:pPr>
        <w:pStyle w:val="4"/>
        <w:rPr>
          <w:rFonts w:hint="eastAsia" w:ascii="楷体" w:hAnsi="楷体" w:eastAsia="楷体" w:cs="Times New Roman"/>
          <w:color w:val="auto"/>
          <w:sz w:val="24"/>
          <w:szCs w:val="24"/>
        </w:rPr>
      </w:pPr>
      <w:r>
        <w:rPr>
          <w:rFonts w:hint="eastAsia" w:ascii="楷体" w:hAnsi="楷体" w:eastAsia="楷体" w:cs="Times New Roman"/>
          <w:color w:val="auto"/>
          <w:sz w:val="24"/>
          <w:szCs w:val="24"/>
        </w:rPr>
        <w:t>开户行：</w:t>
      </w:r>
    </w:p>
    <w:p w14:paraId="5E00C12E">
      <w:pPr>
        <w:pStyle w:val="4"/>
        <w:rPr>
          <w:rFonts w:hint="eastAsia" w:ascii="楷体" w:hAnsi="楷体" w:eastAsia="楷体" w:cs="Times New Roman"/>
          <w:color w:val="auto"/>
          <w:sz w:val="24"/>
          <w:szCs w:val="24"/>
        </w:rPr>
      </w:pPr>
      <w:r>
        <w:rPr>
          <w:rFonts w:hint="eastAsia" w:ascii="楷体" w:hAnsi="楷体" w:eastAsia="楷体" w:cs="Times New Roman"/>
          <w:color w:val="auto"/>
          <w:sz w:val="24"/>
          <w:szCs w:val="24"/>
        </w:rPr>
        <w:t>账 号:</w:t>
      </w:r>
    </w:p>
    <w:p w14:paraId="67617030">
      <w:pPr>
        <w:pStyle w:val="4"/>
        <w:ind w:firstLine="482"/>
        <w:rPr>
          <w:rFonts w:hint="eastAsia" w:ascii="楷体" w:hAnsi="楷体" w:eastAsia="楷体" w:cs="Times New Roman"/>
          <w:b/>
          <w:bCs/>
          <w:color w:val="auto"/>
          <w:sz w:val="24"/>
          <w:szCs w:val="24"/>
        </w:rPr>
      </w:pPr>
      <w:r>
        <w:rPr>
          <w:rFonts w:hint="eastAsia" w:ascii="楷体" w:hAnsi="楷体" w:eastAsia="楷体" w:cs="Times New Roman"/>
          <w:b/>
          <w:bCs/>
          <w:color w:val="auto"/>
          <w:sz w:val="24"/>
          <w:szCs w:val="24"/>
        </w:rPr>
        <w:t>三、甲方的责任与义务</w:t>
      </w:r>
    </w:p>
    <w:p w14:paraId="1495CD83">
      <w:pPr>
        <w:pStyle w:val="4"/>
        <w:rPr>
          <w:rFonts w:hint="eastAsia" w:ascii="楷体" w:hAnsi="楷体" w:eastAsia="楷体" w:cs="Times New Roman"/>
          <w:color w:val="auto"/>
          <w:sz w:val="24"/>
          <w:szCs w:val="24"/>
        </w:rPr>
      </w:pPr>
      <w:r>
        <w:rPr>
          <w:rFonts w:hint="eastAsia" w:ascii="楷体" w:hAnsi="楷体" w:eastAsia="楷体" w:cs="Times New Roman"/>
          <w:color w:val="auto"/>
          <w:sz w:val="24"/>
          <w:szCs w:val="24"/>
          <w:lang w:val="en-US" w:eastAsia="zh-CN"/>
        </w:rPr>
        <w:t>（一）甲方应当按照乙方审计工作要求，真实、准确、完整、及时向乙方提供本次审计所需的全部财务会计资料、业务资料、合同文件、内控资料及其他相关佐证材料，保证所提供资料真实、合法、有效、无隐瞒、无遗漏，并对全部资料的真实性、合法性、完整性承担全部法律及相关责任。</w:t>
      </w:r>
    </w:p>
    <w:p w14:paraId="179AB573">
      <w:pPr>
        <w:pStyle w:val="4"/>
        <w:rPr>
          <w:rFonts w:hint="eastAsia" w:ascii="楷体" w:hAnsi="楷体" w:eastAsia="楷体" w:cs="Times New Roman"/>
          <w:color w:val="auto"/>
          <w:sz w:val="24"/>
          <w:szCs w:val="24"/>
        </w:rPr>
      </w:pPr>
      <w:r>
        <w:rPr>
          <w:rFonts w:hint="eastAsia" w:ascii="楷体" w:hAnsi="楷体" w:eastAsia="楷体" w:cs="Times New Roman"/>
          <w:color w:val="auto"/>
          <w:sz w:val="24"/>
          <w:szCs w:val="24"/>
          <w:lang w:val="en-US" w:eastAsia="zh-CN"/>
        </w:rPr>
        <w:t>（二）甲方应指定专职对接联系人，全程配合乙方开展现场审计、资料核查、人员访谈、资产核查、问题核实等各项审计工作，及时响应乙方合理工作需求，如实回复问询、补充相关资料；同时为乙方审计人员开展审计工作提供必要的办公、现场核查、信息调取等工作条件，保障审计工作顺利推进。</w:t>
      </w:r>
    </w:p>
    <w:p w14:paraId="4F8CF179">
      <w:pPr>
        <w:pStyle w:val="4"/>
        <w:rPr>
          <w:rFonts w:hint="eastAsia" w:ascii="楷体" w:hAnsi="楷体" w:eastAsia="楷体" w:cs="Times New Roman"/>
          <w:color w:val="auto"/>
          <w:sz w:val="24"/>
          <w:szCs w:val="24"/>
        </w:rPr>
      </w:pPr>
      <w:r>
        <w:rPr>
          <w:rFonts w:hint="eastAsia" w:ascii="楷体" w:hAnsi="楷体" w:eastAsia="楷体" w:cs="Times New Roman"/>
          <w:color w:val="auto"/>
          <w:sz w:val="24"/>
          <w:szCs w:val="24"/>
          <w:lang w:val="en-US" w:eastAsia="zh-CN"/>
        </w:rPr>
        <w:t>（三）甲方应严格按照本合同约定的金额、支付方式及期限，及时、足额向乙方支付本次审计服务费用，不得无故拖欠、拒付、克扣服务款项。</w:t>
      </w:r>
    </w:p>
    <w:p w14:paraId="467C0C18">
      <w:pPr>
        <w:pStyle w:val="4"/>
        <w:ind w:firstLine="482"/>
        <w:rPr>
          <w:rFonts w:hint="eastAsia" w:ascii="楷体" w:hAnsi="楷体" w:eastAsia="楷体" w:cs="Times New Roman"/>
          <w:b/>
          <w:bCs/>
          <w:color w:val="auto"/>
          <w:sz w:val="24"/>
          <w:szCs w:val="24"/>
        </w:rPr>
      </w:pPr>
      <w:r>
        <w:rPr>
          <w:rFonts w:hint="eastAsia" w:ascii="楷体" w:hAnsi="楷体" w:eastAsia="楷体" w:cs="Times New Roman"/>
          <w:b/>
          <w:bCs/>
          <w:color w:val="auto"/>
          <w:sz w:val="24"/>
          <w:szCs w:val="24"/>
        </w:rPr>
        <w:t>四、乙方的责任和义务</w:t>
      </w:r>
    </w:p>
    <w:p w14:paraId="710D4C23">
      <w:pPr>
        <w:pStyle w:val="4"/>
        <w:rPr>
          <w:rFonts w:hint="eastAsia" w:ascii="楷体" w:hAnsi="楷体" w:eastAsia="楷体" w:cs="Times New Roman"/>
          <w:color w:val="auto"/>
          <w:sz w:val="24"/>
          <w:szCs w:val="24"/>
        </w:rPr>
      </w:pPr>
      <w:r>
        <w:rPr>
          <w:rFonts w:hint="eastAsia" w:ascii="楷体" w:hAnsi="楷体" w:eastAsia="楷体" w:cs="Times New Roman"/>
          <w:color w:val="auto"/>
          <w:sz w:val="24"/>
          <w:szCs w:val="24"/>
        </w:rPr>
        <w:t>（一）按约定标准和时限提供服务，对服务成果的真实性、合法性负责。</w:t>
      </w:r>
    </w:p>
    <w:p w14:paraId="15656BA2">
      <w:pPr>
        <w:pStyle w:val="4"/>
        <w:rPr>
          <w:rFonts w:hint="eastAsia" w:ascii="楷体" w:hAnsi="楷体" w:eastAsia="楷体" w:cs="Times New Roman"/>
          <w:color w:val="auto"/>
          <w:sz w:val="24"/>
          <w:szCs w:val="24"/>
        </w:rPr>
      </w:pPr>
      <w:r>
        <w:rPr>
          <w:rFonts w:hint="eastAsia" w:ascii="楷体" w:hAnsi="楷体" w:eastAsia="楷体" w:cs="Times New Roman"/>
          <w:color w:val="auto"/>
          <w:sz w:val="24"/>
          <w:szCs w:val="24"/>
        </w:rPr>
        <w:t>（二）对知悉的甲方商业秘密、财务信息严格保密，不得泄露或用于本合同以外的目的。保密义务不因合同终止而解除。</w:t>
      </w:r>
    </w:p>
    <w:p w14:paraId="327F593C">
      <w:pPr>
        <w:pStyle w:val="4"/>
        <w:rPr>
          <w:rFonts w:hint="eastAsia" w:ascii="楷体" w:hAnsi="楷体" w:eastAsia="楷体" w:cs="Times New Roman"/>
          <w:color w:val="auto"/>
          <w:sz w:val="24"/>
          <w:szCs w:val="24"/>
        </w:rPr>
      </w:pPr>
      <w:r>
        <w:rPr>
          <w:rFonts w:hint="eastAsia" w:ascii="楷体" w:hAnsi="楷体" w:eastAsia="楷体" w:cs="Times New Roman"/>
          <w:color w:val="auto"/>
          <w:sz w:val="24"/>
          <w:szCs w:val="24"/>
        </w:rPr>
        <w:t>（三）不得将本合同项下服务转包或分包给第三方。</w:t>
      </w:r>
    </w:p>
    <w:p w14:paraId="032514B3">
      <w:pPr>
        <w:pStyle w:val="4"/>
        <w:ind w:firstLine="482"/>
        <w:rPr>
          <w:rFonts w:hint="eastAsia" w:ascii="楷体" w:hAnsi="楷体" w:eastAsia="楷体" w:cs="Times New Roman"/>
          <w:color w:val="auto"/>
          <w:sz w:val="24"/>
          <w:szCs w:val="24"/>
        </w:rPr>
      </w:pPr>
      <w:r>
        <w:rPr>
          <w:rFonts w:hint="eastAsia" w:ascii="楷体" w:hAnsi="楷体" w:eastAsia="楷体" w:cs="Times New Roman"/>
          <w:b/>
          <w:bCs/>
          <w:color w:val="auto"/>
          <w:sz w:val="24"/>
          <w:szCs w:val="24"/>
        </w:rPr>
        <w:t>五、违约责任</w:t>
      </w:r>
    </w:p>
    <w:p w14:paraId="5C1D7FB0">
      <w:pPr>
        <w:pStyle w:val="4"/>
        <w:rPr>
          <w:rFonts w:hint="eastAsia" w:ascii="楷体" w:hAnsi="楷体" w:eastAsia="楷体" w:cs="Times New Roman"/>
          <w:color w:val="auto"/>
          <w:sz w:val="24"/>
          <w:szCs w:val="24"/>
        </w:rPr>
      </w:pPr>
      <w:r>
        <w:rPr>
          <w:rFonts w:hint="eastAsia" w:ascii="楷体" w:hAnsi="楷体" w:eastAsia="楷体" w:cs="Times New Roman"/>
          <w:color w:val="auto"/>
          <w:sz w:val="24"/>
          <w:szCs w:val="24"/>
        </w:rPr>
        <w:t>（一）甲方应按照本约定书约定，支付委托事项的相关费用，逾期支付的，每逾期一日，应承担本约定书约定金额【】％的违约金。</w:t>
      </w:r>
    </w:p>
    <w:p w14:paraId="00F8A662">
      <w:pPr>
        <w:pStyle w:val="4"/>
        <w:rPr>
          <w:rFonts w:hint="eastAsia" w:ascii="楷体" w:hAnsi="楷体" w:eastAsia="楷体" w:cs="Times New Roman"/>
          <w:color w:val="auto"/>
          <w:sz w:val="24"/>
          <w:szCs w:val="24"/>
        </w:rPr>
      </w:pPr>
      <w:r>
        <w:rPr>
          <w:rFonts w:hint="eastAsia" w:ascii="楷体" w:hAnsi="楷体" w:eastAsia="楷体" w:cs="Times New Roman"/>
          <w:color w:val="auto"/>
          <w:sz w:val="24"/>
          <w:szCs w:val="24"/>
        </w:rPr>
        <w:t>（二）若乙方服务不能满足甲方需要，甲方有权单方解除本约定书，并不再承担本约定书未履行部分的费用。</w:t>
      </w:r>
    </w:p>
    <w:p w14:paraId="37DE40E1">
      <w:pPr>
        <w:pStyle w:val="4"/>
        <w:rPr>
          <w:rFonts w:hint="eastAsia" w:ascii="楷体" w:hAnsi="楷体" w:eastAsia="楷体" w:cs="Times New Roman"/>
          <w:color w:val="auto"/>
          <w:sz w:val="24"/>
          <w:szCs w:val="24"/>
        </w:rPr>
      </w:pPr>
      <w:r>
        <w:rPr>
          <w:rFonts w:hint="eastAsia" w:ascii="楷体" w:hAnsi="楷体" w:eastAsia="楷体" w:cs="Times New Roman"/>
          <w:color w:val="auto"/>
          <w:sz w:val="24"/>
          <w:szCs w:val="24"/>
        </w:rPr>
        <w:t>（三）若乙方违反保密义务给甲方造成损失，乙方应按本约定书费用总额的【】向甲方支付违约金；若因此给甲方造成损失的，甲方有权向乙方足额追偿。</w:t>
      </w:r>
    </w:p>
    <w:p w14:paraId="5AAD79F2">
      <w:pPr>
        <w:pStyle w:val="4"/>
        <w:rPr>
          <w:rFonts w:hint="eastAsia" w:ascii="楷体" w:hAnsi="楷体" w:eastAsia="楷体" w:cs="Times New Roman"/>
          <w:color w:val="auto"/>
          <w:sz w:val="24"/>
          <w:szCs w:val="24"/>
        </w:rPr>
      </w:pPr>
      <w:r>
        <w:rPr>
          <w:rFonts w:hint="eastAsia" w:ascii="楷体" w:hAnsi="楷体" w:eastAsia="楷体" w:cs="Times New Roman"/>
          <w:color w:val="auto"/>
          <w:sz w:val="24"/>
          <w:szCs w:val="24"/>
        </w:rPr>
        <w:t>（四）一方违约导致另一方与其产生争议的，违约方应该承担另一方维权所产生的全部费用，包括但不限于律师费、诉讼费、保全担保函费、公证费、鉴定费等。</w:t>
      </w:r>
    </w:p>
    <w:p w14:paraId="78FD9496">
      <w:pPr>
        <w:pStyle w:val="4"/>
        <w:ind w:firstLine="482"/>
        <w:rPr>
          <w:rFonts w:hint="eastAsia" w:ascii="楷体" w:hAnsi="楷体" w:eastAsia="楷体" w:cs="Times New Roman"/>
          <w:color w:val="auto"/>
          <w:sz w:val="24"/>
          <w:szCs w:val="24"/>
        </w:rPr>
      </w:pPr>
      <w:r>
        <w:rPr>
          <w:rFonts w:hint="eastAsia" w:ascii="楷体" w:hAnsi="楷体" w:eastAsia="楷体" w:cs="Times New Roman"/>
          <w:b/>
          <w:bCs/>
          <w:color w:val="auto"/>
          <w:sz w:val="24"/>
          <w:szCs w:val="24"/>
        </w:rPr>
        <w:t>六、适用法律和争议解决</w:t>
      </w:r>
    </w:p>
    <w:p w14:paraId="061C4990">
      <w:pPr>
        <w:pStyle w:val="4"/>
        <w:rPr>
          <w:rFonts w:hint="eastAsia" w:ascii="楷体" w:hAnsi="楷体" w:eastAsia="楷体" w:cs="Times New Roman"/>
          <w:color w:val="auto"/>
          <w:sz w:val="24"/>
          <w:szCs w:val="24"/>
        </w:rPr>
      </w:pPr>
      <w:r>
        <w:rPr>
          <w:rFonts w:hint="eastAsia" w:ascii="楷体" w:hAnsi="楷体" w:eastAsia="楷体" w:cs="Times New Roman"/>
          <w:color w:val="auto"/>
          <w:sz w:val="24"/>
          <w:szCs w:val="24"/>
        </w:rPr>
        <w:t>若本约定书履行产生纠纷，双方应友好协商，若协商无法达成一致，任何一方有权向甲方住所地人民法院提起诉讼。</w:t>
      </w:r>
    </w:p>
    <w:p w14:paraId="71B40707">
      <w:pPr>
        <w:pStyle w:val="4"/>
        <w:rPr>
          <w:rFonts w:hint="eastAsia" w:ascii="楷体" w:hAnsi="楷体" w:eastAsia="楷体" w:cs="Times New Roman"/>
          <w:color w:val="auto"/>
          <w:sz w:val="24"/>
          <w:szCs w:val="24"/>
        </w:rPr>
      </w:pPr>
      <w:r>
        <w:rPr>
          <w:rFonts w:hint="eastAsia" w:ascii="楷体" w:hAnsi="楷体" w:eastAsia="楷体" w:cs="Times New Roman"/>
          <w:color w:val="auto"/>
          <w:sz w:val="24"/>
          <w:szCs w:val="24"/>
        </w:rPr>
        <w:t>以下无正文</w:t>
      </w:r>
    </w:p>
    <w:p w14:paraId="110019FE">
      <w:pPr>
        <w:pStyle w:val="4"/>
        <w:rPr>
          <w:rFonts w:hint="eastAsia" w:ascii="楷体" w:hAnsi="楷体" w:eastAsia="楷体" w:cs="Times New Roman"/>
          <w:color w:val="auto"/>
          <w:sz w:val="24"/>
          <w:szCs w:val="24"/>
        </w:rPr>
      </w:pPr>
    </w:p>
    <w:p w14:paraId="67CE2E39">
      <w:pPr>
        <w:pStyle w:val="4"/>
        <w:rPr>
          <w:rFonts w:hint="eastAsia" w:ascii="楷体" w:hAnsi="楷体" w:eastAsia="楷体" w:cs="Times New Roman"/>
          <w:color w:val="auto"/>
          <w:sz w:val="24"/>
          <w:szCs w:val="24"/>
        </w:rPr>
      </w:pPr>
    </w:p>
    <w:p w14:paraId="336BBC60">
      <w:pPr>
        <w:pStyle w:val="4"/>
        <w:rPr>
          <w:rFonts w:hint="eastAsia" w:ascii="楷体" w:hAnsi="楷体" w:eastAsia="楷体" w:cs="Times New Roman"/>
          <w:color w:val="auto"/>
          <w:sz w:val="24"/>
          <w:szCs w:val="24"/>
        </w:rPr>
      </w:pPr>
    </w:p>
    <w:p w14:paraId="1EA94734">
      <w:pPr>
        <w:pStyle w:val="4"/>
        <w:rPr>
          <w:rFonts w:hint="eastAsia" w:ascii="楷体" w:hAnsi="楷体" w:eastAsia="楷体" w:cs="Times New Roman"/>
          <w:color w:val="auto"/>
          <w:sz w:val="24"/>
          <w:szCs w:val="24"/>
        </w:rPr>
      </w:pPr>
    </w:p>
    <w:p w14:paraId="60CFF59F">
      <w:pPr>
        <w:pStyle w:val="4"/>
        <w:rPr>
          <w:rFonts w:hint="eastAsia" w:ascii="楷体" w:hAnsi="楷体" w:eastAsia="楷体" w:cs="Times New Roman"/>
          <w:color w:val="auto"/>
          <w:sz w:val="24"/>
          <w:szCs w:val="24"/>
        </w:rPr>
      </w:pPr>
    </w:p>
    <w:p w14:paraId="208ED958">
      <w:pPr>
        <w:pStyle w:val="4"/>
        <w:ind w:firstLine="0" w:firstLineChars="0"/>
        <w:rPr>
          <w:rFonts w:hint="eastAsia" w:ascii="楷体" w:hAnsi="楷体" w:eastAsia="楷体" w:cs="Times New Roman"/>
          <w:color w:val="auto"/>
          <w:sz w:val="24"/>
          <w:szCs w:val="24"/>
        </w:rPr>
      </w:pPr>
    </w:p>
    <w:p w14:paraId="1E6C187D">
      <w:pPr>
        <w:pStyle w:val="4"/>
        <w:ind w:firstLine="0" w:firstLineChars="0"/>
        <w:rPr>
          <w:rFonts w:hint="eastAsia" w:ascii="楷体" w:hAnsi="楷体" w:eastAsia="楷体" w:cs="Times New Roman"/>
          <w:color w:val="auto"/>
          <w:sz w:val="24"/>
          <w:szCs w:val="24"/>
        </w:rPr>
      </w:pPr>
      <w:r>
        <w:rPr>
          <w:rFonts w:hint="eastAsia" w:ascii="楷体" w:hAnsi="楷体" w:eastAsia="楷体" w:cs="Times New Roman"/>
          <w:color w:val="auto"/>
          <w:sz w:val="24"/>
          <w:szCs w:val="24"/>
        </w:rPr>
        <w:t>本页无正文，为签章页。</w:t>
      </w:r>
    </w:p>
    <w:p w14:paraId="30AFEC03">
      <w:pPr>
        <w:pStyle w:val="4"/>
        <w:ind w:firstLine="0" w:firstLineChars="0"/>
        <w:rPr>
          <w:rFonts w:hint="eastAsia" w:ascii="楷体" w:hAnsi="楷体" w:eastAsia="楷体" w:cs="Times New Roman"/>
          <w:color w:val="auto"/>
          <w:sz w:val="24"/>
          <w:szCs w:val="24"/>
        </w:rPr>
      </w:pPr>
    </w:p>
    <w:p w14:paraId="329F9BE2">
      <w:pPr>
        <w:pStyle w:val="4"/>
        <w:ind w:firstLine="0" w:firstLineChars="0"/>
        <w:rPr>
          <w:rFonts w:hint="eastAsia" w:ascii="楷体" w:hAnsi="楷体" w:eastAsia="楷体" w:cs="Times New Roman"/>
          <w:color w:val="auto"/>
          <w:sz w:val="24"/>
          <w:szCs w:val="24"/>
        </w:rPr>
      </w:pPr>
      <w:r>
        <w:rPr>
          <w:rFonts w:hint="eastAsia" w:ascii="楷体" w:hAnsi="楷体" w:eastAsia="楷体" w:cs="Times New Roman"/>
          <w:color w:val="auto"/>
          <w:sz w:val="24"/>
          <w:szCs w:val="24"/>
        </w:rPr>
        <w:t>甲方：                                           乙方：</w:t>
      </w:r>
    </w:p>
    <w:p w14:paraId="33891A09">
      <w:pPr>
        <w:pStyle w:val="4"/>
        <w:ind w:firstLine="0" w:firstLineChars="0"/>
        <w:rPr>
          <w:rFonts w:hint="eastAsia" w:ascii="楷体" w:hAnsi="楷体" w:eastAsia="楷体" w:cs="Times New Roman"/>
          <w:color w:val="auto"/>
          <w:sz w:val="24"/>
          <w:szCs w:val="24"/>
        </w:rPr>
      </w:pPr>
    </w:p>
    <w:p w14:paraId="191C83DC">
      <w:pPr>
        <w:pStyle w:val="4"/>
        <w:ind w:firstLine="0" w:firstLineChars="0"/>
        <w:rPr>
          <w:rFonts w:hint="eastAsia" w:ascii="楷体" w:hAnsi="楷体" w:eastAsia="楷体" w:cs="Times New Roman"/>
          <w:color w:val="auto"/>
          <w:sz w:val="24"/>
          <w:szCs w:val="24"/>
        </w:rPr>
      </w:pPr>
      <w:r>
        <w:rPr>
          <w:rFonts w:hint="eastAsia" w:ascii="楷体" w:hAnsi="楷体" w:eastAsia="楷体" w:cs="Times New Roman"/>
          <w:color w:val="auto"/>
          <w:sz w:val="24"/>
          <w:szCs w:val="24"/>
        </w:rPr>
        <w:t>法定代表人（或授权代表）:                        法定代表人（或授权代表）:</w:t>
      </w:r>
    </w:p>
    <w:p w14:paraId="39D30075">
      <w:pPr>
        <w:pStyle w:val="4"/>
        <w:ind w:firstLine="0" w:firstLineChars="0"/>
        <w:rPr>
          <w:rFonts w:hint="eastAsia" w:ascii="楷体" w:hAnsi="楷体" w:eastAsia="楷体" w:cs="Times New Roman"/>
          <w:color w:val="auto"/>
          <w:sz w:val="24"/>
          <w:szCs w:val="24"/>
        </w:rPr>
      </w:pPr>
    </w:p>
    <w:p w14:paraId="55E69CD8">
      <w:pPr>
        <w:pStyle w:val="4"/>
        <w:ind w:firstLine="0" w:firstLineChars="0"/>
        <w:rPr>
          <w:rFonts w:hint="eastAsia" w:ascii="楷体" w:hAnsi="楷体" w:eastAsia="楷体" w:cs="Times New Roman"/>
          <w:color w:val="auto"/>
          <w:sz w:val="24"/>
          <w:szCs w:val="24"/>
        </w:rPr>
      </w:pPr>
    </w:p>
    <w:p w14:paraId="348FE24B">
      <w:pPr>
        <w:pStyle w:val="4"/>
        <w:ind w:firstLine="0" w:firstLineChars="0"/>
        <w:rPr>
          <w:rFonts w:hint="eastAsia" w:ascii="楷体" w:hAnsi="楷体" w:eastAsia="楷体" w:cs="Times New Roman"/>
          <w:color w:val="auto"/>
          <w:sz w:val="24"/>
          <w:szCs w:val="24"/>
        </w:rPr>
      </w:pPr>
    </w:p>
    <w:p w14:paraId="7AC099B9">
      <w:pPr>
        <w:pStyle w:val="4"/>
        <w:ind w:firstLine="0" w:firstLineChars="0"/>
        <w:rPr>
          <w:rFonts w:hint="eastAsia" w:ascii="楷体" w:hAnsi="楷体" w:eastAsia="楷体" w:cs="Times New Roman"/>
          <w:color w:val="auto"/>
          <w:sz w:val="24"/>
          <w:szCs w:val="24"/>
        </w:rPr>
      </w:pPr>
      <w:r>
        <w:rPr>
          <w:rFonts w:ascii="楷体" w:hAnsi="楷体" w:eastAsia="楷体" w:cs="Times New Roman"/>
          <w:color w:val="auto"/>
          <w:sz w:val="24"/>
          <w:szCs w:val="24"/>
        </w:rPr>
        <w:t>签约日期：</w:t>
      </w:r>
    </w:p>
    <w:p w14:paraId="0FE10448">
      <w:pPr>
        <w:pStyle w:val="4"/>
        <w:ind w:firstLine="0" w:firstLineChars="0"/>
        <w:rPr>
          <w:rFonts w:hint="eastAsia" w:ascii="楷体" w:hAnsi="楷体" w:eastAsia="楷体" w:cs="Times New Roman"/>
          <w:color w:val="auto"/>
          <w:sz w:val="24"/>
          <w:szCs w:val="24"/>
        </w:rPr>
      </w:pPr>
    </w:p>
    <w:p w14:paraId="5603E819">
      <w:pPr>
        <w:pStyle w:val="4"/>
        <w:ind w:firstLine="0" w:firstLineChars="0"/>
        <w:rPr>
          <w:rFonts w:hint="eastAsia" w:ascii="楷体" w:hAnsi="楷体" w:eastAsia="楷体" w:cs="Times New Roman"/>
          <w:color w:val="auto"/>
          <w:sz w:val="24"/>
          <w:szCs w:val="24"/>
        </w:rPr>
      </w:pPr>
    </w:p>
    <w:p w14:paraId="123D79B1">
      <w:pPr>
        <w:pStyle w:val="6"/>
        <w:spacing w:before="156" w:after="156" w:line="360" w:lineRule="auto"/>
        <w:jc w:val="both"/>
        <w:rPr>
          <w:rFonts w:hint="eastAsia" w:ascii="方正仿宋_GBK" w:hAnsi="方正仿宋_GBK" w:eastAsia="方正仿宋_GBK" w:cs="方正仿宋_GBK"/>
          <w:b w:val="0"/>
          <w:szCs w:val="32"/>
        </w:rPr>
      </w:pPr>
      <w:r>
        <w:rPr>
          <w:rFonts w:hint="eastAsia" w:ascii="方正仿宋_GBK" w:hAnsi="方正仿宋_GBK" w:eastAsia="方正仿宋_GBK" w:cs="方正仿宋_GBK"/>
          <w:sz w:val="24"/>
          <w:szCs w:val="24"/>
        </w:rPr>
        <w:t>（具体以甲乙双方协商签订的正式合同为准。）</w:t>
      </w:r>
    </w:p>
    <w:p w14:paraId="1757E62F">
      <w:pPr>
        <w:pStyle w:val="4"/>
        <w:ind w:firstLine="0" w:firstLineChars="0"/>
        <w:rPr>
          <w:rFonts w:hint="eastAsia" w:ascii="楷体" w:hAnsi="楷体" w:eastAsia="楷体" w:cs="Times New Roman"/>
          <w:color w:val="auto"/>
          <w:sz w:val="24"/>
          <w:szCs w:val="24"/>
        </w:rPr>
      </w:pPr>
    </w:p>
    <w:p w14:paraId="5CF8531C">
      <w:pPr>
        <w:pStyle w:val="4"/>
        <w:ind w:firstLine="0" w:firstLineChars="0"/>
        <w:rPr>
          <w:rFonts w:hint="eastAsia" w:ascii="楷体" w:hAnsi="楷体" w:eastAsia="楷体" w:cs="Times New Roman"/>
          <w:color w:val="auto"/>
          <w:sz w:val="24"/>
          <w:szCs w:val="24"/>
        </w:rPr>
      </w:pPr>
    </w:p>
    <w:p w14:paraId="0AF599C6">
      <w:pPr>
        <w:pStyle w:val="4"/>
        <w:rPr>
          <w:rFonts w:ascii="宋体"/>
          <w:b/>
          <w:bCs/>
          <w:sz w:val="28"/>
          <w:szCs w:val="28"/>
        </w:rPr>
      </w:pPr>
    </w:p>
    <w:sectPr>
      <w:headerReference r:id="rId7" w:type="default"/>
      <w:footerReference r:id="rId8" w:type="default"/>
      <w:pgSz w:w="11906" w:h="16838"/>
      <w:pgMar w:top="1440" w:right="991" w:bottom="1440" w:left="1134"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1" w:fontKey="{1521A38F-E280-4D05-9E24-CE5635A03CE6}"/>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roman"/>
    <w:pitch w:val="default"/>
    <w:sig w:usb0="E00006FF" w:usb1="420024FF" w:usb2="02000000" w:usb3="00000000" w:csb0="2000019F" w:csb1="00000000"/>
  </w:font>
  <w:font w:name="方正仿宋_GBK">
    <w:panose1 w:val="03000509000000000000"/>
    <w:charset w:val="86"/>
    <w:family w:val="script"/>
    <w:pitch w:val="default"/>
    <w:sig w:usb0="00000001" w:usb1="080E0000" w:usb2="00000000" w:usb3="00000000" w:csb0="00040000" w:csb1="00000000"/>
    <w:embedRegular r:id="rId2" w:fontKey="{85506596-E2AA-48B6-A2E2-BAF3E1535AC7}"/>
  </w:font>
  <w:font w:name="MingLiU">
    <w:altName w:val="PMingLiU-ExtB"/>
    <w:panose1 w:val="02020509000000000000"/>
    <w:charset w:val="88"/>
    <w:family w:val="modern"/>
    <w:pitch w:val="default"/>
    <w:sig w:usb0="00000000" w:usb1="00000000" w:usb2="00000016" w:usb3="00000000" w:csb0="00100001" w:csb1="00000000"/>
    <w:embedRegular r:id="rId3" w:fontKey="{A6091A80-EB94-40A5-BA9E-E7A428F2645B}"/>
  </w:font>
  <w:font w:name="PMingLiU-ExtB">
    <w:panose1 w:val="02020500000000000000"/>
    <w:charset w:val="88"/>
    <w:family w:val="auto"/>
    <w:pitch w:val="default"/>
    <w:sig w:usb0="8000002F" w:usb1="02000008" w:usb2="00000000" w:usb3="00000000" w:csb0="00100001" w:csb1="00000000"/>
  </w:font>
  <w:font w:name="华文细黑">
    <w:panose1 w:val="02010600040101010101"/>
    <w:charset w:val="86"/>
    <w:family w:val="auto"/>
    <w:pitch w:val="default"/>
    <w:sig w:usb0="00000287" w:usb1="080F0000" w:usb2="00000000" w:usb3="00000000" w:csb0="0004009F" w:csb1="DFD70000"/>
    <w:embedRegular r:id="rId4" w:fontKey="{CDF5E37F-4F08-4676-9D4E-DF4F86846061}"/>
  </w:font>
  <w:font w:name="楷体">
    <w:panose1 w:val="02010609060101010101"/>
    <w:charset w:val="86"/>
    <w:family w:val="modern"/>
    <w:pitch w:val="default"/>
    <w:sig w:usb0="800002BF" w:usb1="38CF7CFA" w:usb2="00000016" w:usb3="00000000" w:csb0="00040001" w:csb1="00000000"/>
    <w:embedRegular r:id="rId5" w:fontKey="{EDA57FBE-30C1-4267-BD2B-4035A1C076D9}"/>
  </w:font>
  <w:font w:name="WPSEMBED1">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37CB43">
    <w:pPr>
      <w:pStyle w:val="14"/>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33FDBF">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EE6A32">
    <w:pPr>
      <w:pStyle w:val="14"/>
      <w:jc w:val="both"/>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F33B88">
                          <w:pPr>
                            <w:pStyle w:val="14"/>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0AF33B88">
                    <w:pPr>
                      <w:pStyle w:val="14"/>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ABB759">
    <w:pPr>
      <w:pStyle w:val="14"/>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CD4168">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7BCD4168">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A24C2">
    <w:pPr>
      <w:pStyle w:val="1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3D9ECC">
                          <w:pPr>
                            <w:pStyle w:val="14"/>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1C3D9ECC">
                    <w:pPr>
                      <w:pStyle w:val="14"/>
                    </w:pPr>
                    <w:r>
                      <w:fldChar w:fldCharType="begin"/>
                    </w:r>
                    <w:r>
                      <w:instrText xml:space="preserve"> PAGE  \* MERGEFORMAT </w:instrText>
                    </w:r>
                    <w:r>
                      <w:fldChar w:fldCharType="separate"/>
                    </w:r>
                    <w:r>
                      <w:t>18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E4DDD1">
    <w:pPr>
      <w:pStyle w:val="15"/>
      <w:pBdr>
        <w:bottom w:val="none" w:color="auto" w:sz="0" w:space="0"/>
      </w:pBdr>
      <w:jc w:val="both"/>
      <w:rPr>
        <w:rFonts w:ascii="方正仿宋_GBK" w:eastAsia="方正仿宋_GBK" w:cs="方正仿宋_GBK"/>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F9E1D9"/>
    <w:multiLevelType w:val="singleLevel"/>
    <w:tmpl w:val="02F9E1D9"/>
    <w:lvl w:ilvl="0" w:tentative="0">
      <w:start w:val="1"/>
      <w:numFmt w:val="chineseCounting"/>
      <w:suff w:val="nothing"/>
      <w:lvlText w:val="（%1）"/>
      <w:lvlJc w:val="left"/>
      <w:rPr>
        <w:rFonts w:hint="eastAsia"/>
      </w:rPr>
    </w:lvl>
  </w:abstractNum>
  <w:abstractNum w:abstractNumId="1">
    <w:nsid w:val="334B2943"/>
    <w:multiLevelType w:val="singleLevel"/>
    <w:tmpl w:val="334B2943"/>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MwZjYyMTYyZjVkYTVkM2VhNmE5MWNjMDE3MTA1NjEifQ=="/>
  </w:docVars>
  <w:rsids>
    <w:rsidRoot w:val="71100B0B"/>
    <w:rsid w:val="00011E90"/>
    <w:rsid w:val="000278FE"/>
    <w:rsid w:val="000A5B2E"/>
    <w:rsid w:val="000E2354"/>
    <w:rsid w:val="000F74D1"/>
    <w:rsid w:val="00144170"/>
    <w:rsid w:val="0015710A"/>
    <w:rsid w:val="00162DAB"/>
    <w:rsid w:val="001865DF"/>
    <w:rsid w:val="001A14BA"/>
    <w:rsid w:val="001A180B"/>
    <w:rsid w:val="001D0921"/>
    <w:rsid w:val="001D12C4"/>
    <w:rsid w:val="001E39D2"/>
    <w:rsid w:val="002020F0"/>
    <w:rsid w:val="00205663"/>
    <w:rsid w:val="0022167C"/>
    <w:rsid w:val="0024448E"/>
    <w:rsid w:val="002527C4"/>
    <w:rsid w:val="00277A9A"/>
    <w:rsid w:val="002A1988"/>
    <w:rsid w:val="002A29A2"/>
    <w:rsid w:val="002A7B64"/>
    <w:rsid w:val="002D4D14"/>
    <w:rsid w:val="002D601E"/>
    <w:rsid w:val="002E4427"/>
    <w:rsid w:val="002F4F7E"/>
    <w:rsid w:val="002F665E"/>
    <w:rsid w:val="002F7E88"/>
    <w:rsid w:val="0032152B"/>
    <w:rsid w:val="00326BF0"/>
    <w:rsid w:val="0034286D"/>
    <w:rsid w:val="00345CE6"/>
    <w:rsid w:val="00355BF5"/>
    <w:rsid w:val="00362505"/>
    <w:rsid w:val="003660E8"/>
    <w:rsid w:val="00372A4B"/>
    <w:rsid w:val="0038047A"/>
    <w:rsid w:val="00383644"/>
    <w:rsid w:val="003A40DA"/>
    <w:rsid w:val="00417B71"/>
    <w:rsid w:val="004340BF"/>
    <w:rsid w:val="00437DEF"/>
    <w:rsid w:val="00485DE8"/>
    <w:rsid w:val="004A1349"/>
    <w:rsid w:val="004A3180"/>
    <w:rsid w:val="004B2CE7"/>
    <w:rsid w:val="004E6295"/>
    <w:rsid w:val="004F0CC1"/>
    <w:rsid w:val="004F4A22"/>
    <w:rsid w:val="00502272"/>
    <w:rsid w:val="00515DFE"/>
    <w:rsid w:val="005805CF"/>
    <w:rsid w:val="00586DB8"/>
    <w:rsid w:val="00595CD2"/>
    <w:rsid w:val="005B2572"/>
    <w:rsid w:val="005B5868"/>
    <w:rsid w:val="005C08DC"/>
    <w:rsid w:val="005C3F9B"/>
    <w:rsid w:val="005E7DDC"/>
    <w:rsid w:val="00610AA4"/>
    <w:rsid w:val="00610B95"/>
    <w:rsid w:val="006211AE"/>
    <w:rsid w:val="00630347"/>
    <w:rsid w:val="00684655"/>
    <w:rsid w:val="00690628"/>
    <w:rsid w:val="006A1747"/>
    <w:rsid w:val="006B4D01"/>
    <w:rsid w:val="006B4DA4"/>
    <w:rsid w:val="006C48F4"/>
    <w:rsid w:val="006E4221"/>
    <w:rsid w:val="00744E93"/>
    <w:rsid w:val="007457C0"/>
    <w:rsid w:val="00756177"/>
    <w:rsid w:val="007575D7"/>
    <w:rsid w:val="00775983"/>
    <w:rsid w:val="00786B63"/>
    <w:rsid w:val="0079315C"/>
    <w:rsid w:val="007A52CD"/>
    <w:rsid w:val="007B5EDC"/>
    <w:rsid w:val="007C7D60"/>
    <w:rsid w:val="00806F2C"/>
    <w:rsid w:val="008373AA"/>
    <w:rsid w:val="00870524"/>
    <w:rsid w:val="00870FDD"/>
    <w:rsid w:val="00884C2D"/>
    <w:rsid w:val="0088605D"/>
    <w:rsid w:val="0088617E"/>
    <w:rsid w:val="008E5940"/>
    <w:rsid w:val="009045AA"/>
    <w:rsid w:val="00912644"/>
    <w:rsid w:val="009163D7"/>
    <w:rsid w:val="00924422"/>
    <w:rsid w:val="009259A8"/>
    <w:rsid w:val="00936CC5"/>
    <w:rsid w:val="009424AE"/>
    <w:rsid w:val="009523B1"/>
    <w:rsid w:val="00982F5F"/>
    <w:rsid w:val="009B40AA"/>
    <w:rsid w:val="009B4E19"/>
    <w:rsid w:val="009E0EE3"/>
    <w:rsid w:val="009E63E4"/>
    <w:rsid w:val="009F0B74"/>
    <w:rsid w:val="009F6FBC"/>
    <w:rsid w:val="00A0775A"/>
    <w:rsid w:val="00A10AE8"/>
    <w:rsid w:val="00A17939"/>
    <w:rsid w:val="00A24B53"/>
    <w:rsid w:val="00A25302"/>
    <w:rsid w:val="00A3206D"/>
    <w:rsid w:val="00A43430"/>
    <w:rsid w:val="00A4636D"/>
    <w:rsid w:val="00A70C59"/>
    <w:rsid w:val="00A74B58"/>
    <w:rsid w:val="00A75D40"/>
    <w:rsid w:val="00A959C6"/>
    <w:rsid w:val="00AA3794"/>
    <w:rsid w:val="00AB5FAF"/>
    <w:rsid w:val="00AC7934"/>
    <w:rsid w:val="00AD5D42"/>
    <w:rsid w:val="00B11D9F"/>
    <w:rsid w:val="00B21DB0"/>
    <w:rsid w:val="00B25EF3"/>
    <w:rsid w:val="00B57DDF"/>
    <w:rsid w:val="00B7044B"/>
    <w:rsid w:val="00B71389"/>
    <w:rsid w:val="00B8291B"/>
    <w:rsid w:val="00B870DA"/>
    <w:rsid w:val="00B91F0A"/>
    <w:rsid w:val="00BA45D8"/>
    <w:rsid w:val="00BB04AB"/>
    <w:rsid w:val="00BC2E69"/>
    <w:rsid w:val="00BD0999"/>
    <w:rsid w:val="00BE5C0F"/>
    <w:rsid w:val="00BF2936"/>
    <w:rsid w:val="00C15749"/>
    <w:rsid w:val="00C443E3"/>
    <w:rsid w:val="00C46727"/>
    <w:rsid w:val="00C53778"/>
    <w:rsid w:val="00C5749A"/>
    <w:rsid w:val="00C6410C"/>
    <w:rsid w:val="00C6445D"/>
    <w:rsid w:val="00C738B4"/>
    <w:rsid w:val="00CB3633"/>
    <w:rsid w:val="00CC5EAA"/>
    <w:rsid w:val="00CD1EC6"/>
    <w:rsid w:val="00CE0525"/>
    <w:rsid w:val="00CE2881"/>
    <w:rsid w:val="00D46356"/>
    <w:rsid w:val="00D63158"/>
    <w:rsid w:val="00D70E88"/>
    <w:rsid w:val="00D7765B"/>
    <w:rsid w:val="00D81D9D"/>
    <w:rsid w:val="00D86F8C"/>
    <w:rsid w:val="00D9155D"/>
    <w:rsid w:val="00DB2AC0"/>
    <w:rsid w:val="00DC1E92"/>
    <w:rsid w:val="00DD5647"/>
    <w:rsid w:val="00E11F15"/>
    <w:rsid w:val="00E3185C"/>
    <w:rsid w:val="00E350EC"/>
    <w:rsid w:val="00E8329D"/>
    <w:rsid w:val="00ED1B34"/>
    <w:rsid w:val="00ED744B"/>
    <w:rsid w:val="00EF344C"/>
    <w:rsid w:val="00F02930"/>
    <w:rsid w:val="00F04DEC"/>
    <w:rsid w:val="00F0628B"/>
    <w:rsid w:val="00F642B1"/>
    <w:rsid w:val="00F8452B"/>
    <w:rsid w:val="00F84647"/>
    <w:rsid w:val="00F857FC"/>
    <w:rsid w:val="00F86536"/>
    <w:rsid w:val="00FC168D"/>
    <w:rsid w:val="00FC4AFD"/>
    <w:rsid w:val="012A6F94"/>
    <w:rsid w:val="01583748"/>
    <w:rsid w:val="0159126E"/>
    <w:rsid w:val="01A00C4B"/>
    <w:rsid w:val="01AC32DB"/>
    <w:rsid w:val="022E1921"/>
    <w:rsid w:val="026B130E"/>
    <w:rsid w:val="02EE4FCD"/>
    <w:rsid w:val="03FC378E"/>
    <w:rsid w:val="046406BD"/>
    <w:rsid w:val="04EE36C6"/>
    <w:rsid w:val="04F75BE8"/>
    <w:rsid w:val="050E7090"/>
    <w:rsid w:val="050E718A"/>
    <w:rsid w:val="05203EC4"/>
    <w:rsid w:val="058922E0"/>
    <w:rsid w:val="05F666BA"/>
    <w:rsid w:val="06044695"/>
    <w:rsid w:val="06164201"/>
    <w:rsid w:val="06C12B60"/>
    <w:rsid w:val="07037366"/>
    <w:rsid w:val="07785760"/>
    <w:rsid w:val="07B86A38"/>
    <w:rsid w:val="08260881"/>
    <w:rsid w:val="0842784B"/>
    <w:rsid w:val="088210E3"/>
    <w:rsid w:val="088879FF"/>
    <w:rsid w:val="089C35E6"/>
    <w:rsid w:val="08C96CD9"/>
    <w:rsid w:val="08F369F7"/>
    <w:rsid w:val="0906593B"/>
    <w:rsid w:val="094A0C63"/>
    <w:rsid w:val="09561AEF"/>
    <w:rsid w:val="09B214F2"/>
    <w:rsid w:val="09B75260"/>
    <w:rsid w:val="09F568AC"/>
    <w:rsid w:val="0A567C82"/>
    <w:rsid w:val="0A5A4C96"/>
    <w:rsid w:val="0A7F062C"/>
    <w:rsid w:val="0ACC55E1"/>
    <w:rsid w:val="0B9C66B3"/>
    <w:rsid w:val="0BD30569"/>
    <w:rsid w:val="0C1F79B0"/>
    <w:rsid w:val="0C4E0E06"/>
    <w:rsid w:val="0CC63FC0"/>
    <w:rsid w:val="0D661447"/>
    <w:rsid w:val="0DA846A1"/>
    <w:rsid w:val="0E2E6302"/>
    <w:rsid w:val="0EC06717"/>
    <w:rsid w:val="0EDB19CC"/>
    <w:rsid w:val="0F17011A"/>
    <w:rsid w:val="0FB27050"/>
    <w:rsid w:val="1016371E"/>
    <w:rsid w:val="102D5E8E"/>
    <w:rsid w:val="104B066F"/>
    <w:rsid w:val="10B36102"/>
    <w:rsid w:val="10B64DF6"/>
    <w:rsid w:val="11125D02"/>
    <w:rsid w:val="11A5302E"/>
    <w:rsid w:val="11D67267"/>
    <w:rsid w:val="11E825EC"/>
    <w:rsid w:val="1207443F"/>
    <w:rsid w:val="12144FC0"/>
    <w:rsid w:val="121D322F"/>
    <w:rsid w:val="1279195B"/>
    <w:rsid w:val="13C702B9"/>
    <w:rsid w:val="13C82424"/>
    <w:rsid w:val="14773A8D"/>
    <w:rsid w:val="14D13A7C"/>
    <w:rsid w:val="14DF03FA"/>
    <w:rsid w:val="1506135C"/>
    <w:rsid w:val="15770141"/>
    <w:rsid w:val="159A4FC7"/>
    <w:rsid w:val="16D71EDB"/>
    <w:rsid w:val="170B2BB3"/>
    <w:rsid w:val="17485BB5"/>
    <w:rsid w:val="176F2E6E"/>
    <w:rsid w:val="1787085F"/>
    <w:rsid w:val="17C6418D"/>
    <w:rsid w:val="17DC5749"/>
    <w:rsid w:val="17E466CC"/>
    <w:rsid w:val="17EC0CAB"/>
    <w:rsid w:val="182D493B"/>
    <w:rsid w:val="184C396E"/>
    <w:rsid w:val="189162CC"/>
    <w:rsid w:val="18EA0B97"/>
    <w:rsid w:val="195E0DB1"/>
    <w:rsid w:val="196565AA"/>
    <w:rsid w:val="197D7F3C"/>
    <w:rsid w:val="1A613215"/>
    <w:rsid w:val="1A7B1F72"/>
    <w:rsid w:val="1A851B3E"/>
    <w:rsid w:val="1ABF31AA"/>
    <w:rsid w:val="1AD5150D"/>
    <w:rsid w:val="1B251FF4"/>
    <w:rsid w:val="1B263D19"/>
    <w:rsid w:val="1B4A746E"/>
    <w:rsid w:val="1B803130"/>
    <w:rsid w:val="1C1158C6"/>
    <w:rsid w:val="1C534DE0"/>
    <w:rsid w:val="1CF27A33"/>
    <w:rsid w:val="1D282F27"/>
    <w:rsid w:val="1D4F454C"/>
    <w:rsid w:val="1DE71BE5"/>
    <w:rsid w:val="1DEC548C"/>
    <w:rsid w:val="1DED36A7"/>
    <w:rsid w:val="1E033C5B"/>
    <w:rsid w:val="1E0D045D"/>
    <w:rsid w:val="1E8169EE"/>
    <w:rsid w:val="1E884DA9"/>
    <w:rsid w:val="1EC76CE7"/>
    <w:rsid w:val="1F376176"/>
    <w:rsid w:val="1FBC30AE"/>
    <w:rsid w:val="200D7D2F"/>
    <w:rsid w:val="21A54692"/>
    <w:rsid w:val="21C621F0"/>
    <w:rsid w:val="21D4635A"/>
    <w:rsid w:val="22070665"/>
    <w:rsid w:val="22920B2A"/>
    <w:rsid w:val="229A4EE6"/>
    <w:rsid w:val="22A3088F"/>
    <w:rsid w:val="22AD4841"/>
    <w:rsid w:val="22B44A85"/>
    <w:rsid w:val="22EB6579"/>
    <w:rsid w:val="22F010E9"/>
    <w:rsid w:val="235D59FC"/>
    <w:rsid w:val="237A72E9"/>
    <w:rsid w:val="23957254"/>
    <w:rsid w:val="23DE4815"/>
    <w:rsid w:val="23F02EE8"/>
    <w:rsid w:val="24055A18"/>
    <w:rsid w:val="245414F9"/>
    <w:rsid w:val="25484AD6"/>
    <w:rsid w:val="25A17702"/>
    <w:rsid w:val="25A634D3"/>
    <w:rsid w:val="25B4719C"/>
    <w:rsid w:val="26343165"/>
    <w:rsid w:val="27324C01"/>
    <w:rsid w:val="27373A5E"/>
    <w:rsid w:val="27571C1E"/>
    <w:rsid w:val="27A03607"/>
    <w:rsid w:val="27D054B0"/>
    <w:rsid w:val="280B5577"/>
    <w:rsid w:val="284E528B"/>
    <w:rsid w:val="28577130"/>
    <w:rsid w:val="291C5C44"/>
    <w:rsid w:val="2977525D"/>
    <w:rsid w:val="29C75056"/>
    <w:rsid w:val="29CF41A8"/>
    <w:rsid w:val="29D36710"/>
    <w:rsid w:val="2ABA66E2"/>
    <w:rsid w:val="2B46553E"/>
    <w:rsid w:val="2B5B443C"/>
    <w:rsid w:val="2BCF0B6A"/>
    <w:rsid w:val="2BF9357E"/>
    <w:rsid w:val="2C363767"/>
    <w:rsid w:val="2D3E19BA"/>
    <w:rsid w:val="2D481A64"/>
    <w:rsid w:val="2D7F1F3A"/>
    <w:rsid w:val="2DA21723"/>
    <w:rsid w:val="2DA32E56"/>
    <w:rsid w:val="2DA729BC"/>
    <w:rsid w:val="2DEA65C2"/>
    <w:rsid w:val="2E420DA7"/>
    <w:rsid w:val="2E7828CE"/>
    <w:rsid w:val="2EA951C2"/>
    <w:rsid w:val="2F297E75"/>
    <w:rsid w:val="2F3F6949"/>
    <w:rsid w:val="302E3534"/>
    <w:rsid w:val="304C31A2"/>
    <w:rsid w:val="30F9585B"/>
    <w:rsid w:val="31A125ED"/>
    <w:rsid w:val="31C8770C"/>
    <w:rsid w:val="31CA6219"/>
    <w:rsid w:val="31E03171"/>
    <w:rsid w:val="31F03C25"/>
    <w:rsid w:val="31FC2418"/>
    <w:rsid w:val="323637DE"/>
    <w:rsid w:val="323963CE"/>
    <w:rsid w:val="323C4091"/>
    <w:rsid w:val="32762A85"/>
    <w:rsid w:val="328405AD"/>
    <w:rsid w:val="330B0E2E"/>
    <w:rsid w:val="331D7A9E"/>
    <w:rsid w:val="336D3922"/>
    <w:rsid w:val="33FC015A"/>
    <w:rsid w:val="340E2A61"/>
    <w:rsid w:val="341D290A"/>
    <w:rsid w:val="34953C36"/>
    <w:rsid w:val="34A51617"/>
    <w:rsid w:val="34D72F2E"/>
    <w:rsid w:val="34E13888"/>
    <w:rsid w:val="34EB5AAA"/>
    <w:rsid w:val="34F915EA"/>
    <w:rsid w:val="34FE6BFF"/>
    <w:rsid w:val="359B2F1A"/>
    <w:rsid w:val="35AC64A1"/>
    <w:rsid w:val="35B50461"/>
    <w:rsid w:val="36297449"/>
    <w:rsid w:val="368921BF"/>
    <w:rsid w:val="37043AEE"/>
    <w:rsid w:val="373D070E"/>
    <w:rsid w:val="379A4071"/>
    <w:rsid w:val="37B3604B"/>
    <w:rsid w:val="37DF4AD2"/>
    <w:rsid w:val="38093F80"/>
    <w:rsid w:val="388F6D48"/>
    <w:rsid w:val="388F774F"/>
    <w:rsid w:val="395A59C0"/>
    <w:rsid w:val="398F57DA"/>
    <w:rsid w:val="39AC730D"/>
    <w:rsid w:val="39E430C3"/>
    <w:rsid w:val="3A235CFD"/>
    <w:rsid w:val="3AE66A31"/>
    <w:rsid w:val="3B021931"/>
    <w:rsid w:val="3B0E664A"/>
    <w:rsid w:val="3B62094D"/>
    <w:rsid w:val="3BB07701"/>
    <w:rsid w:val="3BC136BC"/>
    <w:rsid w:val="3BFE7A30"/>
    <w:rsid w:val="3C292AD9"/>
    <w:rsid w:val="3C78514F"/>
    <w:rsid w:val="3CFE5DA8"/>
    <w:rsid w:val="3D747C3E"/>
    <w:rsid w:val="3D9122FA"/>
    <w:rsid w:val="3E16030B"/>
    <w:rsid w:val="3F643F42"/>
    <w:rsid w:val="3FBE1984"/>
    <w:rsid w:val="3FEB7187"/>
    <w:rsid w:val="3FFB49A4"/>
    <w:rsid w:val="40417967"/>
    <w:rsid w:val="407D384B"/>
    <w:rsid w:val="40B26D93"/>
    <w:rsid w:val="40D53322"/>
    <w:rsid w:val="40D774DE"/>
    <w:rsid w:val="4129475F"/>
    <w:rsid w:val="41551140"/>
    <w:rsid w:val="4176473F"/>
    <w:rsid w:val="41C640F7"/>
    <w:rsid w:val="41FA44F8"/>
    <w:rsid w:val="42AC3521"/>
    <w:rsid w:val="42C402B2"/>
    <w:rsid w:val="43187D6D"/>
    <w:rsid w:val="4356268C"/>
    <w:rsid w:val="438374A9"/>
    <w:rsid w:val="43BC5C20"/>
    <w:rsid w:val="43EB56DF"/>
    <w:rsid w:val="449C0FC6"/>
    <w:rsid w:val="44CC65D0"/>
    <w:rsid w:val="4563563C"/>
    <w:rsid w:val="45714964"/>
    <w:rsid w:val="45EE63A2"/>
    <w:rsid w:val="469221D7"/>
    <w:rsid w:val="4713141D"/>
    <w:rsid w:val="47205504"/>
    <w:rsid w:val="476D4662"/>
    <w:rsid w:val="477D5225"/>
    <w:rsid w:val="47FB6A4D"/>
    <w:rsid w:val="480008A8"/>
    <w:rsid w:val="48156D5C"/>
    <w:rsid w:val="485427D7"/>
    <w:rsid w:val="4871131E"/>
    <w:rsid w:val="487601B6"/>
    <w:rsid w:val="48872525"/>
    <w:rsid w:val="49433804"/>
    <w:rsid w:val="494B70D5"/>
    <w:rsid w:val="496C156E"/>
    <w:rsid w:val="4A7C0ECA"/>
    <w:rsid w:val="4AA414CB"/>
    <w:rsid w:val="4AEC3AC1"/>
    <w:rsid w:val="4BEC00E2"/>
    <w:rsid w:val="4C7B0EF5"/>
    <w:rsid w:val="4D134054"/>
    <w:rsid w:val="4D267823"/>
    <w:rsid w:val="4D4815C2"/>
    <w:rsid w:val="4D657338"/>
    <w:rsid w:val="4DFC4F2C"/>
    <w:rsid w:val="4E0338CF"/>
    <w:rsid w:val="4E6A7C4E"/>
    <w:rsid w:val="4E6E59F1"/>
    <w:rsid w:val="4E8C1163"/>
    <w:rsid w:val="4ECF3EEA"/>
    <w:rsid w:val="4F1F0BD1"/>
    <w:rsid w:val="4F7466D6"/>
    <w:rsid w:val="4FE466E1"/>
    <w:rsid w:val="4FFD70F6"/>
    <w:rsid w:val="50203C86"/>
    <w:rsid w:val="50323E83"/>
    <w:rsid w:val="503C7C8E"/>
    <w:rsid w:val="50A81C1B"/>
    <w:rsid w:val="50BB1C63"/>
    <w:rsid w:val="50F140D9"/>
    <w:rsid w:val="5128521C"/>
    <w:rsid w:val="51331C92"/>
    <w:rsid w:val="513821F0"/>
    <w:rsid w:val="51784976"/>
    <w:rsid w:val="51D27418"/>
    <w:rsid w:val="52525E98"/>
    <w:rsid w:val="534B171A"/>
    <w:rsid w:val="537A4347"/>
    <w:rsid w:val="5435460F"/>
    <w:rsid w:val="543C76F0"/>
    <w:rsid w:val="552A4345"/>
    <w:rsid w:val="55532F00"/>
    <w:rsid w:val="55553C7A"/>
    <w:rsid w:val="55AA572F"/>
    <w:rsid w:val="55DC535C"/>
    <w:rsid w:val="561A0231"/>
    <w:rsid w:val="56680059"/>
    <w:rsid w:val="572C46CA"/>
    <w:rsid w:val="573D6AD0"/>
    <w:rsid w:val="5750309F"/>
    <w:rsid w:val="5779764C"/>
    <w:rsid w:val="582950D6"/>
    <w:rsid w:val="58A40959"/>
    <w:rsid w:val="59A85CAD"/>
    <w:rsid w:val="59AD702D"/>
    <w:rsid w:val="5A2C46F1"/>
    <w:rsid w:val="5A982C41"/>
    <w:rsid w:val="5AF82EE1"/>
    <w:rsid w:val="5B481080"/>
    <w:rsid w:val="5B812E2C"/>
    <w:rsid w:val="5BCB77E7"/>
    <w:rsid w:val="5C1F27A9"/>
    <w:rsid w:val="5C2E3D3A"/>
    <w:rsid w:val="5C475DC2"/>
    <w:rsid w:val="5C4C26DD"/>
    <w:rsid w:val="5CE110EE"/>
    <w:rsid w:val="5D965750"/>
    <w:rsid w:val="5DB21FF4"/>
    <w:rsid w:val="5DEC5CEE"/>
    <w:rsid w:val="5E2330CF"/>
    <w:rsid w:val="5E9B7945"/>
    <w:rsid w:val="5EEB4C16"/>
    <w:rsid w:val="5F286671"/>
    <w:rsid w:val="5F2A342A"/>
    <w:rsid w:val="5F354BE5"/>
    <w:rsid w:val="5F3828C7"/>
    <w:rsid w:val="601E266E"/>
    <w:rsid w:val="60490FDF"/>
    <w:rsid w:val="60E45647"/>
    <w:rsid w:val="61705476"/>
    <w:rsid w:val="62166DC4"/>
    <w:rsid w:val="62FE6A07"/>
    <w:rsid w:val="63050BB9"/>
    <w:rsid w:val="63696A2E"/>
    <w:rsid w:val="63E35A8D"/>
    <w:rsid w:val="64072EA8"/>
    <w:rsid w:val="64535467"/>
    <w:rsid w:val="646A423F"/>
    <w:rsid w:val="64A4332E"/>
    <w:rsid w:val="64F535CA"/>
    <w:rsid w:val="6500490A"/>
    <w:rsid w:val="650D10C7"/>
    <w:rsid w:val="651F60C8"/>
    <w:rsid w:val="659D04F7"/>
    <w:rsid w:val="659D498D"/>
    <w:rsid w:val="66344907"/>
    <w:rsid w:val="66516764"/>
    <w:rsid w:val="6673555F"/>
    <w:rsid w:val="674D37A6"/>
    <w:rsid w:val="67DB0D51"/>
    <w:rsid w:val="67F30197"/>
    <w:rsid w:val="685663DB"/>
    <w:rsid w:val="688961AE"/>
    <w:rsid w:val="68AB0343"/>
    <w:rsid w:val="68D22E0A"/>
    <w:rsid w:val="68DD59E6"/>
    <w:rsid w:val="68ED2FAF"/>
    <w:rsid w:val="694412BF"/>
    <w:rsid w:val="69C34CCA"/>
    <w:rsid w:val="6A2A6ABF"/>
    <w:rsid w:val="6A39489C"/>
    <w:rsid w:val="6A67575D"/>
    <w:rsid w:val="6AAA5074"/>
    <w:rsid w:val="6B595E89"/>
    <w:rsid w:val="6BDC33EC"/>
    <w:rsid w:val="6C26230F"/>
    <w:rsid w:val="6C2D7F56"/>
    <w:rsid w:val="6D0B6E51"/>
    <w:rsid w:val="6D1E1611"/>
    <w:rsid w:val="6D805151"/>
    <w:rsid w:val="6DBF92C6"/>
    <w:rsid w:val="6DD134BB"/>
    <w:rsid w:val="6E491C9E"/>
    <w:rsid w:val="6E67583D"/>
    <w:rsid w:val="6E6A232F"/>
    <w:rsid w:val="6EAE74F5"/>
    <w:rsid w:val="6EC95881"/>
    <w:rsid w:val="6ECA22E1"/>
    <w:rsid w:val="6EED49C0"/>
    <w:rsid w:val="6F4849C5"/>
    <w:rsid w:val="6F582C0D"/>
    <w:rsid w:val="6F8A55DB"/>
    <w:rsid w:val="6FE868F7"/>
    <w:rsid w:val="6FFF2618"/>
    <w:rsid w:val="7013414A"/>
    <w:rsid w:val="706741B6"/>
    <w:rsid w:val="70957D81"/>
    <w:rsid w:val="70D917BD"/>
    <w:rsid w:val="70DE203F"/>
    <w:rsid w:val="71100B0B"/>
    <w:rsid w:val="714B22E4"/>
    <w:rsid w:val="71A7394D"/>
    <w:rsid w:val="71B72890"/>
    <w:rsid w:val="72055C6C"/>
    <w:rsid w:val="7225310B"/>
    <w:rsid w:val="72682EF6"/>
    <w:rsid w:val="72E13A64"/>
    <w:rsid w:val="72EB72D6"/>
    <w:rsid w:val="733E7825"/>
    <w:rsid w:val="739A7D73"/>
    <w:rsid w:val="73A8077C"/>
    <w:rsid w:val="73DF11EA"/>
    <w:rsid w:val="74215C4D"/>
    <w:rsid w:val="74B0389B"/>
    <w:rsid w:val="74CE1834"/>
    <w:rsid w:val="75095312"/>
    <w:rsid w:val="75180312"/>
    <w:rsid w:val="757E7FC0"/>
    <w:rsid w:val="766B7B7A"/>
    <w:rsid w:val="76B57492"/>
    <w:rsid w:val="77BE3B00"/>
    <w:rsid w:val="77E9454A"/>
    <w:rsid w:val="77F33013"/>
    <w:rsid w:val="78103DC7"/>
    <w:rsid w:val="78290A8D"/>
    <w:rsid w:val="782E1550"/>
    <w:rsid w:val="785802B2"/>
    <w:rsid w:val="78AB77B5"/>
    <w:rsid w:val="78AE3744"/>
    <w:rsid w:val="78B00D79"/>
    <w:rsid w:val="793F3716"/>
    <w:rsid w:val="79715D35"/>
    <w:rsid w:val="79902CB1"/>
    <w:rsid w:val="79976BD7"/>
    <w:rsid w:val="79F679A6"/>
    <w:rsid w:val="7A17211E"/>
    <w:rsid w:val="7A3108D3"/>
    <w:rsid w:val="7A361A05"/>
    <w:rsid w:val="7A384A59"/>
    <w:rsid w:val="7A4E71A8"/>
    <w:rsid w:val="7B38751D"/>
    <w:rsid w:val="7BB9446E"/>
    <w:rsid w:val="7BF90F13"/>
    <w:rsid w:val="7C4A0343"/>
    <w:rsid w:val="7C657C92"/>
    <w:rsid w:val="7C741AA9"/>
    <w:rsid w:val="7C750F13"/>
    <w:rsid w:val="7C852788"/>
    <w:rsid w:val="7CC77B1B"/>
    <w:rsid w:val="7D22291C"/>
    <w:rsid w:val="7D5B0502"/>
    <w:rsid w:val="7DDA2CEF"/>
    <w:rsid w:val="7DF424B5"/>
    <w:rsid w:val="7E6F3DCF"/>
    <w:rsid w:val="7E8A2C3D"/>
    <w:rsid w:val="7EEE59F8"/>
    <w:rsid w:val="7EF82F47"/>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nhideWhenUsed="0" w:uiPriority="9" w:semiHidden="0" w:name="heading 2"/>
    <w:lsdException w:qFormat="1" w:unhideWhenUsed="0" w:uiPriority="99" w:semiHidden="0" w:name="heading 3"/>
    <w:lsdException w:qFormat="1" w:unhideWhenUsed="0" w:uiPriority="99" w:semiHidden="0" w:name="heading 4" w:locked="1"/>
    <w:lsdException w:qFormat="1" w:unhideWhenUsed="0" w:uiPriority="99" w:semiHidden="0" w:name="heading 5" w:locked="1"/>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39" w:semiHidden="0" w:name="toc 1"/>
    <w:lsdException w:qFormat="1" w:unhideWhenUsed="0"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99" w:name="Normal Indent" w:locked="1"/>
    <w:lsdException w:uiPriority="99" w:name="footnote text" w:locked="1"/>
    <w:lsdException w:qFormat="1" w:uiPriority="99" w:semiHidden="0"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qFormat="1" w:unhideWhenUsed="0" w:uiPriority="0" w:semiHidden="0" w:name="Body Text First Indent" w:locked="1"/>
    <w:lsdException w:qFormat="1" w:unhideWhenUsed="0" w:uiPriority="0" w:semiHidden="0" w:name="Body Text First Indent 2" w:locked="1"/>
    <w:lsdException w:uiPriority="99" w:name="Note Heading" w:locked="1"/>
    <w:lsdException w:uiPriority="99" w:name="Body Text 2" w:locked="1"/>
    <w:lsdException w:uiPriority="99" w:name="Body Text 3" w:locked="1"/>
    <w:lsdException w:qFormat="1" w:unhideWhenUsed="0" w:uiPriority="99" w:semiHidden="0" w:name="Body Text Indent 2"/>
    <w:lsdException w:qFormat="1" w:unhideWhenUsed="0" w:uiPriority="0" w:semiHidden="0" w:name="Body Text Indent 3" w:locked="1"/>
    <w:lsdException w:uiPriority="99" w:name="Block Text" w:locked="1"/>
    <w:lsdException w:qFormat="1" w:uiPriority="99" w:semiHidden="0" w:name="Hyperlink" w:locked="1"/>
    <w:lsdException w:qFormat="1" w:uiPriority="99" w:semiHidden="0" w:name="FollowedHyperlink" w:locked="1"/>
    <w:lsdException w:qFormat="1" w:unhideWhenUsed="0" w:uiPriority="22"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qFormat="1" w:uiPriority="99" w:semiHidden="0" w:name="Normal (Web)" w:locked="1"/>
    <w:lsdException w:qFormat="1" w:uiPriority="99" w:semiHidden="0" w:name="HTML Acronym" w:locked="1"/>
    <w:lsdException w:uiPriority="99" w:name="HTML Address" w:locked="1"/>
    <w:lsdException w:qFormat="1" w:uiPriority="99" w:semiHidden="0" w:name="HTML Cite" w:locked="1"/>
    <w:lsdException w:qFormat="1" w:uiPriority="99" w:semiHidden="0" w:name="HTML Code" w:locked="1"/>
    <w:lsdException w:qFormat="1" w:uiPriority="99" w:semiHidden="0" w:name="HTML Definition" w:locked="1"/>
    <w:lsdException w:qFormat="1" w:uiPriority="99" w:semiHidden="0" w:name="HTML Keyboard" w:locked="1"/>
    <w:lsdException w:qFormat="1" w:uiPriority="99" w:name="HTML Preformatted" w:locked="1"/>
    <w:lsdException w:qFormat="1" w:uiPriority="99" w:semiHidden="0" w:name="HTML Sample" w:locked="1"/>
    <w:lsdException w:qFormat="1" w:uiPriority="99" w:semiHidden="0" w:name="HTML Typewriter" w:locked="1"/>
    <w:lsdException w:qFormat="1" w:uiPriority="99" w:semiHidden="0" w:name="HTML Variable" w:locked="1"/>
    <w:lsdException w:qFormat="1" w:uiPriority="99" w:name="Normal Table"/>
    <w:lsdException w:qFormat="1" w:uiPriority="99" w:semiHidden="0"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iPriority="99" w:semiHidden="0" w:name="Balloon Text" w:locked="1"/>
    <w:lsdException w:qFormat="1" w:unhideWhenUsed="0" w:uiPriority="3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5">
    <w:name w:val="heading 1"/>
    <w:basedOn w:val="1"/>
    <w:next w:val="1"/>
    <w:link w:val="41"/>
    <w:qFormat/>
    <w:locked/>
    <w:uiPriority w:val="99"/>
    <w:pPr>
      <w:keepNext/>
      <w:keepLines/>
      <w:spacing w:line="578" w:lineRule="auto"/>
      <w:outlineLvl w:val="0"/>
    </w:pPr>
    <w:rPr>
      <w:b/>
      <w:bCs/>
      <w:kern w:val="44"/>
      <w:sz w:val="44"/>
      <w:szCs w:val="44"/>
    </w:rPr>
  </w:style>
  <w:style w:type="paragraph" w:styleId="6">
    <w:name w:val="heading 2"/>
    <w:basedOn w:val="1"/>
    <w:next w:val="1"/>
    <w:qFormat/>
    <w:uiPriority w:val="9"/>
    <w:pPr>
      <w:autoSpaceDE w:val="0"/>
      <w:autoSpaceDN w:val="0"/>
      <w:adjustRightInd w:val="0"/>
      <w:snapToGrid w:val="0"/>
      <w:spacing w:beforeLines="50" w:afterLines="50" w:line="440" w:lineRule="exact"/>
      <w:jc w:val="left"/>
      <w:outlineLvl w:val="1"/>
    </w:pPr>
    <w:rPr>
      <w:rFonts w:ascii="Arial" w:hAnsi="Arial"/>
      <w:b/>
      <w:sz w:val="32"/>
      <w:szCs w:val="20"/>
    </w:rPr>
  </w:style>
  <w:style w:type="paragraph" w:styleId="7">
    <w:name w:val="heading 3"/>
    <w:basedOn w:val="1"/>
    <w:next w:val="1"/>
    <w:link w:val="42"/>
    <w:qFormat/>
    <w:uiPriority w:val="99"/>
    <w:pPr>
      <w:keepNext/>
      <w:keepLines/>
      <w:spacing w:line="413" w:lineRule="auto"/>
      <w:outlineLvl w:val="2"/>
    </w:pPr>
    <w:rPr>
      <w:b/>
      <w:bCs/>
      <w:sz w:val="32"/>
      <w:szCs w:val="32"/>
    </w:rPr>
  </w:style>
  <w:style w:type="paragraph" w:styleId="8">
    <w:name w:val="heading 4"/>
    <w:basedOn w:val="1"/>
    <w:next w:val="1"/>
    <w:link w:val="43"/>
    <w:qFormat/>
    <w:locked/>
    <w:uiPriority w:val="99"/>
    <w:pPr>
      <w:widowControl/>
      <w:spacing w:beforeAutospacing="1" w:afterAutospacing="1"/>
      <w:jc w:val="left"/>
      <w:outlineLvl w:val="3"/>
    </w:pPr>
    <w:rPr>
      <w:rFonts w:ascii="宋体" w:hAnsi="宋体" w:cs="宋体"/>
      <w:b/>
      <w:bCs/>
      <w:kern w:val="0"/>
      <w:sz w:val="24"/>
      <w:szCs w:val="24"/>
    </w:rPr>
  </w:style>
  <w:style w:type="paragraph" w:styleId="9">
    <w:name w:val="heading 5"/>
    <w:basedOn w:val="1"/>
    <w:next w:val="1"/>
    <w:link w:val="44"/>
    <w:qFormat/>
    <w:locked/>
    <w:uiPriority w:val="99"/>
    <w:pPr>
      <w:widowControl/>
      <w:spacing w:beforeAutospacing="1" w:afterAutospacing="1"/>
      <w:jc w:val="left"/>
      <w:outlineLvl w:val="4"/>
    </w:pPr>
    <w:rPr>
      <w:rFonts w:ascii="宋体" w:hAnsi="宋体" w:cs="宋体"/>
      <w:b/>
      <w:bCs/>
      <w:kern w:val="0"/>
      <w:sz w:val="20"/>
      <w:szCs w:val="20"/>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4"/>
    <w:qFormat/>
    <w:locked/>
    <w:uiPriority w:val="0"/>
    <w:pPr>
      <w:spacing w:line="360" w:lineRule="auto"/>
      <w:ind w:firstLine="420"/>
    </w:pPr>
    <w:rPr>
      <w:sz w:val="24"/>
    </w:rPr>
  </w:style>
  <w:style w:type="paragraph" w:styleId="3">
    <w:name w:val="Body Text"/>
    <w:basedOn w:val="1"/>
    <w:next w:val="1"/>
    <w:link w:val="45"/>
    <w:qFormat/>
    <w:uiPriority w:val="99"/>
    <w:rPr>
      <w:rFonts w:ascii="宋体" w:hAnsi="宋体" w:cs="宋体"/>
      <w:sz w:val="28"/>
      <w:szCs w:val="28"/>
    </w:rPr>
  </w:style>
  <w:style w:type="paragraph" w:customStyle="1" w:styleId="4">
    <w:name w:val="样式 正文首行缩进 + 首行缩进:  2 字符1 Char Char"/>
    <w:basedOn w:val="1"/>
    <w:qFormat/>
    <w:uiPriority w:val="0"/>
    <w:pPr>
      <w:adjustRightInd w:val="0"/>
      <w:spacing w:line="400" w:lineRule="exact"/>
      <w:ind w:firstLine="480" w:firstLineChars="200"/>
      <w:textAlignment w:val="baseline"/>
    </w:pPr>
    <w:rPr>
      <w:rFonts w:ascii="宋体" w:hAnsi="宋体" w:eastAsia="仿宋_GB2312" w:cs="宋体"/>
      <w:color w:val="000000"/>
      <w:sz w:val="26"/>
      <w:szCs w:val="20"/>
    </w:rPr>
  </w:style>
  <w:style w:type="paragraph" w:styleId="10">
    <w:name w:val="annotation text"/>
    <w:basedOn w:val="1"/>
    <w:link w:val="56"/>
    <w:unhideWhenUsed/>
    <w:qFormat/>
    <w:locked/>
    <w:uiPriority w:val="99"/>
    <w:pPr>
      <w:jc w:val="left"/>
    </w:pPr>
  </w:style>
  <w:style w:type="paragraph" w:styleId="11">
    <w:name w:val="Body Text Indent"/>
    <w:basedOn w:val="1"/>
    <w:link w:val="46"/>
    <w:qFormat/>
    <w:uiPriority w:val="99"/>
    <w:pPr>
      <w:ind w:firstLine="568" w:firstLineChars="203"/>
    </w:pPr>
    <w:rPr>
      <w:rFonts w:ascii="宋体" w:hAnsi="宋体" w:cs="宋体"/>
      <w:sz w:val="28"/>
      <w:szCs w:val="28"/>
    </w:rPr>
  </w:style>
  <w:style w:type="paragraph" w:styleId="12">
    <w:name w:val="Body Text Indent 2"/>
    <w:basedOn w:val="1"/>
    <w:link w:val="47"/>
    <w:qFormat/>
    <w:uiPriority w:val="99"/>
    <w:pPr>
      <w:spacing w:line="480" w:lineRule="auto"/>
      <w:ind w:left="420" w:leftChars="200"/>
    </w:pPr>
  </w:style>
  <w:style w:type="paragraph" w:styleId="13">
    <w:name w:val="Balloon Text"/>
    <w:basedOn w:val="1"/>
    <w:link w:val="55"/>
    <w:unhideWhenUsed/>
    <w:qFormat/>
    <w:locked/>
    <w:uiPriority w:val="99"/>
    <w:rPr>
      <w:sz w:val="18"/>
      <w:szCs w:val="18"/>
    </w:rPr>
  </w:style>
  <w:style w:type="paragraph" w:styleId="14">
    <w:name w:val="footer"/>
    <w:basedOn w:val="1"/>
    <w:link w:val="48"/>
    <w:qFormat/>
    <w:uiPriority w:val="99"/>
    <w:pPr>
      <w:tabs>
        <w:tab w:val="center" w:pos="4153"/>
        <w:tab w:val="right" w:pos="8306"/>
      </w:tabs>
      <w:snapToGrid w:val="0"/>
      <w:jc w:val="left"/>
    </w:pPr>
    <w:rPr>
      <w:sz w:val="18"/>
      <w:szCs w:val="18"/>
    </w:rPr>
  </w:style>
  <w:style w:type="paragraph" w:styleId="15">
    <w:name w:val="header"/>
    <w:basedOn w:val="1"/>
    <w:link w:val="49"/>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uiPriority w:val="39"/>
  </w:style>
  <w:style w:type="paragraph" w:styleId="17">
    <w:name w:val="Body Text Indent 3"/>
    <w:basedOn w:val="1"/>
    <w:qFormat/>
    <w:locked/>
    <w:uiPriority w:val="0"/>
    <w:pPr>
      <w:spacing w:after="120"/>
      <w:ind w:left="420" w:leftChars="200"/>
    </w:pPr>
    <w:rPr>
      <w:sz w:val="16"/>
    </w:rPr>
  </w:style>
  <w:style w:type="paragraph" w:styleId="18">
    <w:name w:val="toc 2"/>
    <w:basedOn w:val="1"/>
    <w:next w:val="1"/>
    <w:qFormat/>
    <w:uiPriority w:val="39"/>
    <w:pPr>
      <w:ind w:left="420" w:leftChars="200"/>
    </w:pPr>
  </w:style>
  <w:style w:type="paragraph" w:styleId="19">
    <w:name w:val="HTML Preformatted"/>
    <w:basedOn w:val="1"/>
    <w:semiHidden/>
    <w:unhideWhenUsed/>
    <w:qFormat/>
    <w:lock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szCs w:val="24"/>
    </w:rPr>
  </w:style>
  <w:style w:type="paragraph" w:styleId="20">
    <w:name w:val="Normal (Web)"/>
    <w:basedOn w:val="1"/>
    <w:unhideWhenUsed/>
    <w:qFormat/>
    <w:locked/>
    <w:uiPriority w:val="99"/>
    <w:pPr>
      <w:widowControl/>
      <w:spacing w:before="100" w:beforeAutospacing="1" w:after="100" w:afterAutospacing="1"/>
      <w:jc w:val="left"/>
    </w:pPr>
    <w:rPr>
      <w:rFonts w:ascii="宋体" w:hAnsi="宋体" w:cs="宋体"/>
      <w:kern w:val="0"/>
      <w:sz w:val="24"/>
      <w:szCs w:val="24"/>
    </w:rPr>
  </w:style>
  <w:style w:type="paragraph" w:styleId="21">
    <w:name w:val="Title"/>
    <w:basedOn w:val="1"/>
    <w:next w:val="1"/>
    <w:link w:val="50"/>
    <w:qFormat/>
    <w:uiPriority w:val="99"/>
    <w:pPr>
      <w:widowControl/>
      <w:jc w:val="center"/>
    </w:pPr>
    <w:rPr>
      <w:kern w:val="0"/>
      <w:sz w:val="20"/>
      <w:szCs w:val="20"/>
      <w:u w:val="single"/>
      <w:lang w:eastAsia="en-US"/>
    </w:rPr>
  </w:style>
  <w:style w:type="paragraph" w:styleId="22">
    <w:name w:val="annotation subject"/>
    <w:basedOn w:val="10"/>
    <w:next w:val="10"/>
    <w:link w:val="57"/>
    <w:unhideWhenUsed/>
    <w:qFormat/>
    <w:locked/>
    <w:uiPriority w:val="99"/>
    <w:rPr>
      <w:b/>
      <w:bCs/>
    </w:rPr>
  </w:style>
  <w:style w:type="paragraph" w:styleId="23">
    <w:name w:val="Body Text First Indent 2"/>
    <w:basedOn w:val="11"/>
    <w:qFormat/>
    <w:locked/>
    <w:uiPriority w:val="0"/>
    <w:pPr>
      <w:ind w:firstLine="420" w:firstLineChars="200"/>
    </w:pPr>
  </w:style>
  <w:style w:type="table" w:styleId="25">
    <w:name w:val="Table Grid"/>
    <w:basedOn w:val="2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basedOn w:val="26"/>
    <w:qFormat/>
    <w:uiPriority w:val="22"/>
    <w:rPr>
      <w:b/>
      <w:bCs/>
    </w:rPr>
  </w:style>
  <w:style w:type="character" w:styleId="28">
    <w:name w:val="page number"/>
    <w:basedOn w:val="26"/>
    <w:qFormat/>
    <w:uiPriority w:val="99"/>
  </w:style>
  <w:style w:type="character" w:styleId="29">
    <w:name w:val="FollowedHyperlink"/>
    <w:basedOn w:val="26"/>
    <w:unhideWhenUsed/>
    <w:qFormat/>
    <w:locked/>
    <w:uiPriority w:val="99"/>
    <w:rPr>
      <w:color w:val="800080"/>
      <w:u w:val="none"/>
    </w:rPr>
  </w:style>
  <w:style w:type="character" w:styleId="30">
    <w:name w:val="Emphasis"/>
    <w:basedOn w:val="26"/>
    <w:qFormat/>
    <w:uiPriority w:val="0"/>
    <w:rPr>
      <w:b/>
      <w:bCs/>
    </w:rPr>
  </w:style>
  <w:style w:type="character" w:styleId="31">
    <w:name w:val="HTML Definition"/>
    <w:basedOn w:val="26"/>
    <w:unhideWhenUsed/>
    <w:qFormat/>
    <w:locked/>
    <w:uiPriority w:val="99"/>
  </w:style>
  <w:style w:type="character" w:styleId="32">
    <w:name w:val="HTML Typewriter"/>
    <w:basedOn w:val="26"/>
    <w:unhideWhenUsed/>
    <w:qFormat/>
    <w:locked/>
    <w:uiPriority w:val="99"/>
    <w:rPr>
      <w:rFonts w:hint="default" w:ascii="monospace" w:hAnsi="monospace" w:eastAsia="monospace" w:cs="monospace"/>
      <w:sz w:val="20"/>
    </w:rPr>
  </w:style>
  <w:style w:type="character" w:styleId="33">
    <w:name w:val="HTML Acronym"/>
    <w:basedOn w:val="26"/>
    <w:unhideWhenUsed/>
    <w:qFormat/>
    <w:locked/>
    <w:uiPriority w:val="99"/>
  </w:style>
  <w:style w:type="character" w:styleId="34">
    <w:name w:val="HTML Variable"/>
    <w:basedOn w:val="26"/>
    <w:unhideWhenUsed/>
    <w:qFormat/>
    <w:locked/>
    <w:uiPriority w:val="99"/>
  </w:style>
  <w:style w:type="character" w:styleId="35">
    <w:name w:val="Hyperlink"/>
    <w:basedOn w:val="26"/>
    <w:unhideWhenUsed/>
    <w:qFormat/>
    <w:locked/>
    <w:uiPriority w:val="99"/>
    <w:rPr>
      <w:color w:val="0000FF"/>
      <w:u w:val="none"/>
    </w:rPr>
  </w:style>
  <w:style w:type="character" w:styleId="36">
    <w:name w:val="HTML Code"/>
    <w:basedOn w:val="26"/>
    <w:unhideWhenUsed/>
    <w:qFormat/>
    <w:locked/>
    <w:uiPriority w:val="99"/>
    <w:rPr>
      <w:rFonts w:hint="default" w:ascii="monospace" w:hAnsi="monospace" w:eastAsia="monospace" w:cs="monospace"/>
      <w:sz w:val="20"/>
    </w:rPr>
  </w:style>
  <w:style w:type="character" w:styleId="37">
    <w:name w:val="annotation reference"/>
    <w:basedOn w:val="26"/>
    <w:semiHidden/>
    <w:qFormat/>
    <w:uiPriority w:val="99"/>
    <w:rPr>
      <w:sz w:val="21"/>
      <w:szCs w:val="21"/>
    </w:rPr>
  </w:style>
  <w:style w:type="character" w:styleId="38">
    <w:name w:val="HTML Cite"/>
    <w:basedOn w:val="26"/>
    <w:unhideWhenUsed/>
    <w:qFormat/>
    <w:locked/>
    <w:uiPriority w:val="99"/>
  </w:style>
  <w:style w:type="character" w:styleId="39">
    <w:name w:val="HTML Keyboard"/>
    <w:basedOn w:val="26"/>
    <w:unhideWhenUsed/>
    <w:qFormat/>
    <w:locked/>
    <w:uiPriority w:val="99"/>
    <w:rPr>
      <w:rFonts w:ascii="monospace" w:hAnsi="monospace" w:eastAsia="monospace" w:cs="monospace"/>
      <w:sz w:val="20"/>
    </w:rPr>
  </w:style>
  <w:style w:type="character" w:styleId="40">
    <w:name w:val="HTML Sample"/>
    <w:basedOn w:val="26"/>
    <w:unhideWhenUsed/>
    <w:qFormat/>
    <w:locked/>
    <w:uiPriority w:val="99"/>
    <w:rPr>
      <w:rFonts w:hint="default" w:ascii="monospace" w:hAnsi="monospace" w:eastAsia="monospace" w:cs="monospace"/>
    </w:rPr>
  </w:style>
  <w:style w:type="character" w:customStyle="1" w:styleId="41">
    <w:name w:val="标题 1 字符"/>
    <w:basedOn w:val="26"/>
    <w:link w:val="5"/>
    <w:qFormat/>
    <w:locked/>
    <w:uiPriority w:val="99"/>
    <w:rPr>
      <w:rFonts w:ascii="Times New Roman" w:hAnsi="Times New Roman" w:cs="Times New Roman"/>
      <w:b/>
      <w:bCs/>
      <w:kern w:val="44"/>
      <w:sz w:val="44"/>
      <w:szCs w:val="44"/>
    </w:rPr>
  </w:style>
  <w:style w:type="character" w:customStyle="1" w:styleId="42">
    <w:name w:val="标题 3 字符"/>
    <w:basedOn w:val="26"/>
    <w:link w:val="7"/>
    <w:semiHidden/>
    <w:qFormat/>
    <w:locked/>
    <w:uiPriority w:val="99"/>
    <w:rPr>
      <w:rFonts w:ascii="Times New Roman" w:hAnsi="Times New Roman" w:cs="Times New Roman"/>
      <w:b/>
      <w:bCs/>
      <w:sz w:val="32"/>
      <w:szCs w:val="32"/>
    </w:rPr>
  </w:style>
  <w:style w:type="character" w:customStyle="1" w:styleId="43">
    <w:name w:val="标题 4 字符"/>
    <w:basedOn w:val="26"/>
    <w:link w:val="8"/>
    <w:semiHidden/>
    <w:qFormat/>
    <w:locked/>
    <w:uiPriority w:val="99"/>
    <w:rPr>
      <w:rFonts w:ascii="Cambria" w:hAnsi="Cambria" w:eastAsia="宋体" w:cs="Cambria"/>
      <w:b/>
      <w:bCs/>
      <w:sz w:val="28"/>
      <w:szCs w:val="28"/>
    </w:rPr>
  </w:style>
  <w:style w:type="character" w:customStyle="1" w:styleId="44">
    <w:name w:val="标题 5 字符"/>
    <w:basedOn w:val="26"/>
    <w:link w:val="9"/>
    <w:semiHidden/>
    <w:qFormat/>
    <w:locked/>
    <w:uiPriority w:val="99"/>
    <w:rPr>
      <w:rFonts w:ascii="Times New Roman" w:hAnsi="Times New Roman" w:cs="Times New Roman"/>
      <w:b/>
      <w:bCs/>
      <w:sz w:val="28"/>
      <w:szCs w:val="28"/>
    </w:rPr>
  </w:style>
  <w:style w:type="character" w:customStyle="1" w:styleId="45">
    <w:name w:val="正文文本 字符"/>
    <w:basedOn w:val="26"/>
    <w:link w:val="3"/>
    <w:semiHidden/>
    <w:qFormat/>
    <w:locked/>
    <w:uiPriority w:val="99"/>
    <w:rPr>
      <w:rFonts w:ascii="Times New Roman" w:hAnsi="Times New Roman" w:cs="Times New Roman"/>
      <w:sz w:val="21"/>
      <w:szCs w:val="21"/>
    </w:rPr>
  </w:style>
  <w:style w:type="character" w:customStyle="1" w:styleId="46">
    <w:name w:val="正文文本缩进 字符"/>
    <w:basedOn w:val="26"/>
    <w:link w:val="11"/>
    <w:semiHidden/>
    <w:qFormat/>
    <w:locked/>
    <w:uiPriority w:val="99"/>
    <w:rPr>
      <w:rFonts w:ascii="Times New Roman" w:hAnsi="Times New Roman" w:cs="Times New Roman"/>
      <w:sz w:val="21"/>
      <w:szCs w:val="21"/>
    </w:rPr>
  </w:style>
  <w:style w:type="character" w:customStyle="1" w:styleId="47">
    <w:name w:val="正文文本缩进 2 字符"/>
    <w:basedOn w:val="26"/>
    <w:link w:val="12"/>
    <w:semiHidden/>
    <w:qFormat/>
    <w:locked/>
    <w:uiPriority w:val="99"/>
    <w:rPr>
      <w:rFonts w:ascii="Times New Roman" w:hAnsi="Times New Roman" w:cs="Times New Roman"/>
      <w:sz w:val="21"/>
      <w:szCs w:val="21"/>
    </w:rPr>
  </w:style>
  <w:style w:type="character" w:customStyle="1" w:styleId="48">
    <w:name w:val="页脚 字符"/>
    <w:basedOn w:val="26"/>
    <w:link w:val="14"/>
    <w:qFormat/>
    <w:locked/>
    <w:uiPriority w:val="99"/>
    <w:rPr>
      <w:rFonts w:ascii="Times New Roman" w:hAnsi="Times New Roman" w:cs="Times New Roman"/>
      <w:sz w:val="18"/>
      <w:szCs w:val="18"/>
    </w:rPr>
  </w:style>
  <w:style w:type="character" w:customStyle="1" w:styleId="49">
    <w:name w:val="页眉 字符"/>
    <w:basedOn w:val="26"/>
    <w:link w:val="15"/>
    <w:semiHidden/>
    <w:qFormat/>
    <w:locked/>
    <w:uiPriority w:val="99"/>
    <w:rPr>
      <w:rFonts w:ascii="Times New Roman" w:hAnsi="Times New Roman" w:cs="Times New Roman"/>
      <w:sz w:val="18"/>
      <w:szCs w:val="18"/>
    </w:rPr>
  </w:style>
  <w:style w:type="character" w:customStyle="1" w:styleId="50">
    <w:name w:val="标题 字符"/>
    <w:basedOn w:val="26"/>
    <w:link w:val="21"/>
    <w:qFormat/>
    <w:locked/>
    <w:uiPriority w:val="99"/>
    <w:rPr>
      <w:rFonts w:ascii="Cambria" w:hAnsi="Cambria" w:cs="Cambria"/>
      <w:b/>
      <w:bCs/>
      <w:sz w:val="32"/>
      <w:szCs w:val="32"/>
    </w:rPr>
  </w:style>
  <w:style w:type="paragraph" w:customStyle="1" w:styleId="51">
    <w:name w:val="WPSOffice手动目录 1"/>
    <w:qFormat/>
    <w:uiPriority w:val="99"/>
    <w:rPr>
      <w:rFonts w:ascii="Times New Roman" w:hAnsi="Times New Roman" w:eastAsia="宋体" w:cs="Times New Roman"/>
      <w:lang w:val="en-US" w:eastAsia="zh-CN" w:bidi="ar-SA"/>
    </w:rPr>
  </w:style>
  <w:style w:type="paragraph" w:customStyle="1" w:styleId="52">
    <w:name w:val="附件标题-1"/>
    <w:basedOn w:val="1"/>
    <w:qFormat/>
    <w:uiPriority w:val="99"/>
    <w:pPr>
      <w:spacing w:beforeLines="50" w:afterLines="50"/>
      <w:jc w:val="center"/>
    </w:pPr>
    <w:rPr>
      <w:rFonts w:eastAsia="黑体"/>
      <w:sz w:val="32"/>
      <w:szCs w:val="32"/>
    </w:rPr>
  </w:style>
  <w:style w:type="paragraph" w:customStyle="1" w:styleId="53">
    <w:name w:val="TOC 标题1"/>
    <w:basedOn w:val="5"/>
    <w:next w:val="1"/>
    <w:qFormat/>
    <w:uiPriority w:val="99"/>
    <w:pPr>
      <w:widowControl/>
      <w:spacing w:before="480" w:line="276" w:lineRule="auto"/>
      <w:jc w:val="left"/>
      <w:outlineLvl w:val="9"/>
    </w:pPr>
    <w:rPr>
      <w:rFonts w:ascii="Cambria" w:hAnsi="Cambria" w:cs="Cambria"/>
      <w:color w:val="365F91"/>
      <w:kern w:val="0"/>
      <w:sz w:val="28"/>
      <w:szCs w:val="28"/>
    </w:rPr>
  </w:style>
  <w:style w:type="paragraph" w:customStyle="1" w:styleId="54">
    <w:name w:val="列出段落11"/>
    <w:basedOn w:val="1"/>
    <w:qFormat/>
    <w:uiPriority w:val="99"/>
    <w:pPr>
      <w:ind w:firstLine="420" w:firstLineChars="200"/>
    </w:pPr>
    <w:rPr>
      <w:sz w:val="28"/>
      <w:szCs w:val="28"/>
    </w:rPr>
  </w:style>
  <w:style w:type="character" w:customStyle="1" w:styleId="55">
    <w:name w:val="批注框文本 字符"/>
    <w:basedOn w:val="26"/>
    <w:link w:val="13"/>
    <w:semiHidden/>
    <w:qFormat/>
    <w:uiPriority w:val="99"/>
    <w:rPr>
      <w:kern w:val="2"/>
      <w:sz w:val="18"/>
      <w:szCs w:val="18"/>
    </w:rPr>
  </w:style>
  <w:style w:type="character" w:customStyle="1" w:styleId="56">
    <w:name w:val="批注文字 字符"/>
    <w:basedOn w:val="26"/>
    <w:link w:val="10"/>
    <w:qFormat/>
    <w:uiPriority w:val="99"/>
    <w:rPr>
      <w:kern w:val="2"/>
      <w:sz w:val="21"/>
      <w:szCs w:val="21"/>
    </w:rPr>
  </w:style>
  <w:style w:type="character" w:customStyle="1" w:styleId="57">
    <w:name w:val="批注主题 字符"/>
    <w:basedOn w:val="56"/>
    <w:link w:val="22"/>
    <w:semiHidden/>
    <w:qFormat/>
    <w:uiPriority w:val="99"/>
    <w:rPr>
      <w:b/>
      <w:bCs/>
      <w:kern w:val="2"/>
      <w:sz w:val="21"/>
      <w:szCs w:val="21"/>
    </w:rPr>
  </w:style>
  <w:style w:type="paragraph" w:customStyle="1" w:styleId="58">
    <w:name w:val="修订1"/>
    <w:hidden/>
    <w:semiHidden/>
    <w:qFormat/>
    <w:uiPriority w:val="99"/>
    <w:rPr>
      <w:rFonts w:ascii="Times New Roman" w:hAnsi="Times New Roman" w:eastAsia="宋体" w:cs="Times New Roman"/>
      <w:kern w:val="2"/>
      <w:sz w:val="21"/>
      <w:szCs w:val="21"/>
      <w:lang w:val="en-US" w:eastAsia="zh-CN" w:bidi="ar-SA"/>
    </w:rPr>
  </w:style>
  <w:style w:type="character" w:customStyle="1" w:styleId="59">
    <w:name w:val="choose-status"/>
    <w:basedOn w:val="26"/>
    <w:qFormat/>
    <w:uiPriority w:val="0"/>
    <w:rPr>
      <w:color w:val="1F85EC"/>
      <w:shd w:val="clear" w:color="auto" w:fill="FFFFFF"/>
    </w:rPr>
  </w:style>
  <w:style w:type="character" w:customStyle="1" w:styleId="60">
    <w:name w:val="movedownrow"/>
    <w:basedOn w:val="26"/>
    <w:qFormat/>
    <w:uiPriority w:val="0"/>
    <w:rPr>
      <w:color w:val="1F85EC"/>
    </w:rPr>
  </w:style>
  <w:style w:type="character" w:customStyle="1" w:styleId="61">
    <w:name w:val="drapbtn"/>
    <w:basedOn w:val="26"/>
    <w:qFormat/>
    <w:uiPriority w:val="0"/>
  </w:style>
  <w:style w:type="character" w:customStyle="1" w:styleId="62">
    <w:name w:val="layui-layer-tabnow"/>
    <w:basedOn w:val="26"/>
    <w:qFormat/>
    <w:uiPriority w:val="0"/>
    <w:rPr>
      <w:bdr w:val="single" w:color="CCCCCC" w:sz="6" w:space="0"/>
      <w:shd w:val="clear" w:color="auto" w:fill="FFFFFF"/>
    </w:rPr>
  </w:style>
  <w:style w:type="character" w:customStyle="1" w:styleId="63">
    <w:name w:val="pagechatarealistclose_box"/>
    <w:basedOn w:val="26"/>
    <w:qFormat/>
    <w:uiPriority w:val="0"/>
  </w:style>
  <w:style w:type="character" w:customStyle="1" w:styleId="64">
    <w:name w:val="pagechatarealistclose_box1"/>
    <w:basedOn w:val="26"/>
    <w:qFormat/>
    <w:uiPriority w:val="0"/>
  </w:style>
  <w:style w:type="character" w:customStyle="1" w:styleId="65">
    <w:name w:val="first-child"/>
    <w:basedOn w:val="26"/>
    <w:qFormat/>
    <w:uiPriority w:val="0"/>
  </w:style>
  <w:style w:type="character" w:customStyle="1" w:styleId="66">
    <w:name w:val="iconline2"/>
    <w:basedOn w:val="26"/>
    <w:qFormat/>
    <w:uiPriority w:val="0"/>
  </w:style>
  <w:style w:type="character" w:customStyle="1" w:styleId="67">
    <w:name w:val="cy"/>
    <w:basedOn w:val="26"/>
    <w:qFormat/>
    <w:uiPriority w:val="0"/>
  </w:style>
  <w:style w:type="character" w:customStyle="1" w:styleId="68">
    <w:name w:val="associateddata"/>
    <w:basedOn w:val="26"/>
    <w:qFormat/>
    <w:uiPriority w:val="0"/>
    <w:rPr>
      <w:shd w:val="clear" w:color="auto" w:fill="50A6F9"/>
    </w:rPr>
  </w:style>
  <w:style w:type="character" w:customStyle="1" w:styleId="69">
    <w:name w:val="w32"/>
    <w:basedOn w:val="26"/>
    <w:qFormat/>
    <w:uiPriority w:val="0"/>
  </w:style>
  <w:style w:type="character" w:customStyle="1" w:styleId="70">
    <w:name w:val="icontext3"/>
    <w:basedOn w:val="26"/>
    <w:qFormat/>
    <w:uiPriority w:val="0"/>
  </w:style>
  <w:style w:type="character" w:customStyle="1" w:styleId="71">
    <w:name w:val="after"/>
    <w:basedOn w:val="26"/>
    <w:qFormat/>
    <w:uiPriority w:val="0"/>
    <w:rPr>
      <w:sz w:val="0"/>
      <w:szCs w:val="0"/>
    </w:rPr>
  </w:style>
  <w:style w:type="character" w:customStyle="1" w:styleId="72">
    <w:name w:val="insertrow"/>
    <w:basedOn w:val="26"/>
    <w:qFormat/>
    <w:uiPriority w:val="0"/>
    <w:rPr>
      <w:color w:val="1F85EC"/>
    </w:rPr>
  </w:style>
  <w:style w:type="character" w:customStyle="1" w:styleId="73">
    <w:name w:val="copyrow"/>
    <w:basedOn w:val="26"/>
    <w:qFormat/>
    <w:uiPriority w:val="0"/>
    <w:rPr>
      <w:color w:val="1F85EC"/>
    </w:rPr>
  </w:style>
  <w:style w:type="character" w:customStyle="1" w:styleId="74">
    <w:name w:val="hilite"/>
    <w:basedOn w:val="26"/>
    <w:qFormat/>
    <w:uiPriority w:val="0"/>
    <w:rPr>
      <w:color w:val="FFFFFF"/>
      <w:shd w:val="clear" w:color="auto" w:fill="666666"/>
    </w:rPr>
  </w:style>
  <w:style w:type="character" w:customStyle="1" w:styleId="75">
    <w:name w:val="tmpztreemove_arrow"/>
    <w:basedOn w:val="26"/>
    <w:qFormat/>
    <w:uiPriority w:val="0"/>
  </w:style>
  <w:style w:type="character" w:customStyle="1" w:styleId="76">
    <w:name w:val="cdropleft"/>
    <w:basedOn w:val="26"/>
    <w:qFormat/>
    <w:uiPriority w:val="0"/>
  </w:style>
  <w:style w:type="character" w:customStyle="1" w:styleId="77">
    <w:name w:val="active8"/>
    <w:basedOn w:val="26"/>
    <w:qFormat/>
    <w:uiPriority w:val="0"/>
    <w:rPr>
      <w:color w:val="00FF00"/>
      <w:shd w:val="clear" w:color="auto" w:fill="111111"/>
    </w:rPr>
  </w:style>
  <w:style w:type="character" w:customStyle="1" w:styleId="78">
    <w:name w:val="active9"/>
    <w:basedOn w:val="26"/>
    <w:qFormat/>
    <w:uiPriority w:val="0"/>
    <w:rPr>
      <w:shd w:val="clear" w:color="auto" w:fill="EC3535"/>
    </w:rPr>
  </w:style>
  <w:style w:type="character" w:customStyle="1" w:styleId="79">
    <w:name w:val="cdropright"/>
    <w:basedOn w:val="26"/>
    <w:qFormat/>
    <w:uiPriority w:val="0"/>
  </w:style>
  <w:style w:type="character" w:customStyle="1" w:styleId="80">
    <w:name w:val="icontext2"/>
    <w:basedOn w:val="26"/>
    <w:qFormat/>
    <w:uiPriority w:val="0"/>
  </w:style>
  <w:style w:type="character" w:customStyle="1" w:styleId="81">
    <w:name w:val="ico1653"/>
    <w:basedOn w:val="26"/>
    <w:qFormat/>
    <w:uiPriority w:val="0"/>
  </w:style>
  <w:style w:type="character" w:customStyle="1" w:styleId="82">
    <w:name w:val="ico1654"/>
    <w:basedOn w:val="26"/>
    <w:qFormat/>
    <w:uiPriority w:val="0"/>
  </w:style>
  <w:style w:type="character" w:customStyle="1" w:styleId="83">
    <w:name w:val="icontext1"/>
    <w:basedOn w:val="26"/>
    <w:qFormat/>
    <w:uiPriority w:val="0"/>
  </w:style>
  <w:style w:type="character" w:customStyle="1" w:styleId="84">
    <w:name w:val="icontext11"/>
    <w:basedOn w:val="26"/>
    <w:qFormat/>
    <w:uiPriority w:val="0"/>
  </w:style>
  <w:style w:type="character" w:customStyle="1" w:styleId="85">
    <w:name w:val="icontext12"/>
    <w:basedOn w:val="26"/>
    <w:qFormat/>
    <w:uiPriority w:val="0"/>
  </w:style>
  <w:style w:type="character" w:customStyle="1" w:styleId="86">
    <w:name w:val="last-child"/>
    <w:basedOn w:val="26"/>
    <w:qFormat/>
    <w:uiPriority w:val="0"/>
  </w:style>
  <w:style w:type="character" w:customStyle="1" w:styleId="87">
    <w:name w:val="moveuprow"/>
    <w:basedOn w:val="26"/>
    <w:qFormat/>
    <w:uiPriority w:val="0"/>
    <w:rPr>
      <w:color w:val="1F85EC"/>
    </w:rPr>
  </w:style>
  <w:style w:type="character" w:customStyle="1" w:styleId="88">
    <w:name w:val="deleterow"/>
    <w:basedOn w:val="26"/>
    <w:qFormat/>
    <w:uiPriority w:val="0"/>
    <w:rPr>
      <w:color w:val="FF5E5E"/>
    </w:rPr>
  </w:style>
  <w:style w:type="character" w:customStyle="1" w:styleId="89">
    <w:name w:val="button4"/>
    <w:basedOn w:val="26"/>
    <w:qFormat/>
    <w:uiPriority w:val="0"/>
  </w:style>
  <w:style w:type="paragraph" w:customStyle="1" w:styleId="90">
    <w:name w:val="无间隔1"/>
    <w:basedOn w:val="1"/>
    <w:qFormat/>
    <w:uiPriority w:val="1"/>
    <w:pPr>
      <w:spacing w:line="400" w:lineRule="exact"/>
    </w:pPr>
    <w:rPr>
      <w:sz w:val="24"/>
    </w:rPr>
  </w:style>
  <w:style w:type="paragraph" w:customStyle="1" w:styleId="91">
    <w:name w:val="*正文风"/>
    <w:basedOn w:val="1"/>
    <w:qFormat/>
    <w:uiPriority w:val="0"/>
    <w:pPr>
      <w:tabs>
        <w:tab w:val="left" w:pos="417"/>
        <w:tab w:val="left" w:pos="1134"/>
      </w:tabs>
      <w:adjustRightInd w:val="0"/>
      <w:spacing w:line="312" w:lineRule="atLeast"/>
      <w:ind w:left="1134" w:hanging="1134"/>
      <w:textAlignment w:val="baseline"/>
    </w:pPr>
    <w:rPr>
      <w:kern w:val="0"/>
      <w:sz w:val="28"/>
      <w:szCs w:val="20"/>
    </w:rPr>
  </w:style>
  <w:style w:type="character" w:customStyle="1" w:styleId="92">
    <w:name w:val="hilite4"/>
    <w:qFormat/>
    <w:uiPriority w:val="0"/>
    <w:rPr>
      <w:color w:val="FFFFFF"/>
      <w:shd w:val="clear" w:color="auto" w:fill="666666"/>
    </w:rPr>
  </w:style>
  <w:style w:type="character" w:customStyle="1" w:styleId="93">
    <w:name w:val="active2"/>
    <w:qFormat/>
    <w:uiPriority w:val="0"/>
    <w:rPr>
      <w:color w:val="00FF00"/>
      <w:shd w:val="clear" w:color="auto" w:fill="111111"/>
    </w:rPr>
  </w:style>
  <w:style w:type="character" w:customStyle="1" w:styleId="94">
    <w:name w:val="active3"/>
    <w:qFormat/>
    <w:uiPriority w:val="0"/>
    <w:rPr>
      <w:shd w:val="clear" w:color="auto" w:fill="EC3535"/>
    </w:rPr>
  </w:style>
  <w:style w:type="character" w:customStyle="1" w:styleId="95">
    <w:name w:val="ico1655"/>
    <w:qFormat/>
    <w:uiPriority w:val="0"/>
  </w:style>
  <w:style w:type="character" w:customStyle="1" w:styleId="96">
    <w:name w:val="ico1656"/>
    <w:qFormat/>
    <w:uiPriority w:val="0"/>
  </w:style>
  <w:style w:type="character" w:customStyle="1" w:styleId="97">
    <w:name w:val="copytolefthover"/>
    <w:qFormat/>
    <w:uiPriority w:val="0"/>
    <w:rPr>
      <w:vanish/>
    </w:rPr>
  </w:style>
  <w:style w:type="character" w:customStyle="1" w:styleId="98">
    <w:name w:val="hover41"/>
    <w:qFormat/>
    <w:uiPriority w:val="0"/>
    <w:rPr>
      <w:color w:val="2490F8"/>
    </w:rPr>
  </w:style>
  <w:style w:type="paragraph" w:customStyle="1" w:styleId="99">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table" w:customStyle="1" w:styleId="100">
    <w:name w:val="Table Normal1"/>
    <w:semiHidden/>
    <w:unhideWhenUsed/>
    <w:qFormat/>
    <w:uiPriority w:val="0"/>
    <w:rPr>
      <w:rFonts w:ascii="Arial" w:hAnsi="Arial" w:cs="Arial"/>
    </w:rPr>
    <w:tblPr>
      <w:tblCellMar>
        <w:top w:w="0" w:type="dxa"/>
        <w:left w:w="0" w:type="dxa"/>
        <w:bottom w:w="0" w:type="dxa"/>
        <w:right w:w="0" w:type="dxa"/>
      </w:tblCellMar>
    </w:tblPr>
  </w:style>
  <w:style w:type="paragraph" w:customStyle="1" w:styleId="101">
    <w:name w:val="修订2"/>
    <w:hidden/>
    <w:unhideWhenUsed/>
    <w:qFormat/>
    <w:uiPriority w:val="99"/>
    <w:rPr>
      <w:rFonts w:ascii="Times New Roman" w:hAnsi="Times New Roman" w:eastAsia="宋体" w:cs="Times New Roman"/>
      <w:kern w:val="2"/>
      <w:sz w:val="21"/>
      <w:szCs w:val="21"/>
      <w:lang w:val="en-US" w:eastAsia="zh-CN" w:bidi="ar-SA"/>
    </w:rPr>
  </w:style>
  <w:style w:type="paragraph" w:customStyle="1" w:styleId="102">
    <w:name w:val="正文文本缩进1"/>
    <w:basedOn w:val="1"/>
    <w:qFormat/>
    <w:uiPriority w:val="0"/>
    <w:pPr>
      <w:ind w:firstLine="360"/>
    </w:pPr>
    <w:rPr>
      <w:sz w:val="28"/>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24</Pages>
  <Words>7271</Words>
  <Characters>8114</Characters>
  <Lines>83</Lines>
  <Paragraphs>23</Paragraphs>
  <TotalTime>93</TotalTime>
  <ScaleCrop>false</ScaleCrop>
  <LinksUpToDate>false</LinksUpToDate>
  <CharactersWithSpaces>8270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2026-06-17T01:07:00Z</dcterms:created>
  <dc:creator>Administrator</dc:creator>
  <cp:lastModifiedBy>薄荷℡</cp:lastModifiedBy>
  <cp:lastPrinted>2026-07-14T08:02:00Z</cp:lastPrinted>
  <dcterms:modified xsi:type="dcterms:W3CDTF">2026-07-23T00:41:16Z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DB6520B259934D0BA5754026C1FC0D89_13</vt:lpwstr>
  </property>
  <property fmtid="{D5CDD505-2E9C-101B-9397-08002B2CF9AE}" pid="4" name="KSOTemplateDocerSaveRecord">
    <vt:lpwstr>eyJoZGlkIjoiN2E0MWMzYmM0MzA3YWIyODFhNWU3OGUzN2FhMTkzZjMiLCJ1c2VySWQiOiI0NTg3MDI2MDcifQ==</vt:lpwstr>
  </property>
</Properties>
</file>