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/>
        <w:jc w:val="left"/>
        <w:textAlignment w:val="auto"/>
        <w:rPr>
          <w:rFonts w:ascii="Times New Roman" w:eastAsia="方正仿宋_GBK" w:cs="Times New Roman" w:hAnsi="Times New Roman"/>
          <w:sz w:val="32"/>
          <w:szCs w:val="32"/>
          <w:lang w:val="en-US" w:eastAsia="zh-CN"/>
        </w:rPr>
      </w:pPr>
      <w:r>
        <w:rPr>
          <w:rFonts w:eastAsia="方正仿宋_GBK" w:cs="Times New Roman" w:hint="eastAsia"/>
          <w:sz w:val="32"/>
          <w:szCs w:val="32"/>
          <w:lang w:val="en-US" w:eastAsia="zh-CN"/>
        </w:rPr>
        <w:t>附件</w:t>
      </w:r>
      <w:r>
        <w:rPr>
          <w:rFonts w:ascii="Times New Roman" w:eastAsia="方正仿宋_GBK" w:cs="Times New Roman" w:hAnsi="Times New Roman"/>
          <w:sz w:val="32"/>
          <w:szCs w:val="32"/>
          <w:lang w:val="en-US" w:eastAsia="zh-CN"/>
        </w:rPr>
        <w:t>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ascii="Times New Roman" w:eastAsia="方正小标宋_GBK" w:cs="Times New Roman" w:hAnsi="Times New Roman"/>
          <w:sz w:val="44"/>
          <w:szCs w:val="44"/>
          <w:lang w:val="en-US"/>
          <w:highlight w:val="none"/>
        </w:rPr>
      </w:pPr>
      <w:r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  <w:highlight w:val="none"/>
        </w:rPr>
        <w:t>中虎国际开展</w:t>
      </w:r>
      <w:r>
        <w:rPr>
          <w:rFonts w:eastAsia="方正小标宋_GBK" w:hint="eastAsia"/>
          <w:sz w:val="44"/>
          <w:szCs w:val="44"/>
        </w:rPr>
        <w:t>机动车号牌管理信息系统</w:t>
      </w:r>
      <w:r>
        <w:rPr>
          <w:rFonts w:eastAsia="方正小标宋_GBK"/>
          <w:sz w:val="44"/>
          <w:szCs w:val="44"/>
        </w:rPr>
        <w:t xml:space="preserve">  软</w:t>
      </w:r>
      <w:r>
        <w:rPr>
          <w:rFonts w:eastAsia="方正小标宋_GBK" w:hint="eastAsia"/>
          <w:sz w:val="44"/>
          <w:szCs w:val="44"/>
        </w:rPr>
        <w:t>硬件设备</w:t>
      </w:r>
      <w:r>
        <w:rPr>
          <w:rFonts w:eastAsia="方正小标宋_GBK" w:cs="Times New Roman" w:hint="eastAsia"/>
          <w:sz w:val="44"/>
          <w:szCs w:val="44"/>
          <w:lang w:val="en-US" w:eastAsia="zh-CN"/>
          <w:highlight w:val="none"/>
        </w:rPr>
        <w:t>采购详细技术需求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ascii="方正黑体_GBK" w:eastAsia="方正黑体_GBK" w:cs="方正黑体_GBK" w:hAnsi="方正黑体_GBK" w:hint="eastAsia"/>
          <w:b w:val="0"/>
          <w:bCs w:val="0"/>
          <w:sz w:val="32"/>
          <w:szCs w:val="32"/>
          <w:lang w:val="en-US" w:eastAsia="zh-CN"/>
          <w:highlight w:val="none"/>
        </w:rPr>
        <w:t>一、项目概况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textAlignment w:val="auto"/>
        <w:rPr>
          <w:rFonts w:ascii="方正楷体_GBK" w:eastAsia="方正楷体_GBK" w:cs="方正楷体_GBK" w:hAnsi="方正楷体_GBK" w:hint="eastAsia"/>
          <w:sz w:val="32"/>
          <w:szCs w:val="32"/>
          <w:lang w:val="en-US" w:eastAsia="zh-CN"/>
          <w:highlight w:val="none"/>
        </w:rPr>
      </w:pPr>
      <w:r>
        <w:rPr>
          <w:rFonts w:ascii="方正楷体_GBK" w:eastAsia="方正楷体_GBK" w:cs="方正楷体_GBK" w:hAnsi="方正楷体_GBK" w:hint="eastAsia"/>
          <w:sz w:val="32"/>
          <w:szCs w:val="32"/>
          <w:lang w:val="en-US" w:eastAsia="zh-CN"/>
          <w:highlight w:val="none"/>
        </w:rPr>
        <w:t>1.1 项目背景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Chars="200" w:firstLine="640"/>
        <w:textAlignment w:val="auto"/>
        <w:rPr>
          <w:color w:val="000000"/>
          <w:szCs w:val="32"/>
          <w:shd w:val="clear" w:color="auto" w:fill="auto"/>
        </w:rPr>
      </w:pPr>
      <w:r>
        <w:rPr>
          <w:rFonts w:ascii="Times New Roman" w:eastAsia="方正仿宋_GBK" w:cs="Times New Roman" w:hAnsi="Times New Roman"/>
          <w:color w:val="000000"/>
          <w:szCs w:val="32"/>
          <w:shd w:val="clear" w:color="auto" w:fill="auto"/>
        </w:rPr>
        <w:t>路易通公司计算机机房现有机动车号牌管理信息系统硬件设</w:t>
      </w:r>
      <w:r>
        <w:rPr>
          <w:color w:val="000000"/>
          <w:szCs w:val="32"/>
          <w:shd w:val="clear" w:color="auto" w:fill="auto"/>
        </w:rPr>
        <w:t>备于2017年投入使用，至今已连续运行9年，主要承担公司号牌信息管理系统运行支撑、数据存储备份、内部 生产等核心业务，是维系公司日常生产运营的关键基础设施。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ascii="Times New Roman" w:eastAsia="方正仿宋_GBK" w:cs="Times New Roman" w:hAnsi="Times New Roman"/>
          <w:color w:val="000000"/>
          <w:szCs w:val="32"/>
          <w:shd w:val="clear" w:color="auto" w:fill="auto"/>
        </w:rPr>
        <w:t>路易通</w:t>
      </w:r>
      <w:r>
        <w:rPr>
          <w:color w:val="000000"/>
          <w:szCs w:val="32"/>
          <w:shd w:val="clear" w:color="auto" w:fill="auto"/>
        </w:rPr>
        <w:t xml:space="preserve">公司号牌系统采用公安网与专网分离部署模式，其中专网侧设备部署于号牌制作中心机房,公安网侧设备部署于重庆市公安局交警总队中心机房。近年来，随着业务规模持续扩大（2017—2025年号牌订单量年均增长8%，数据存储总量突破20TB），现有设备老化、性能衰退问题日益突出：近6个月内服务器累计宕机23次，最长修复时间达6小时，导致号牌数据传输中断，影响生产效率及客户满意度；服务器CPU使用率长期维持在85%以上，内存占用率频繁突破90%，业务响应速度明显下降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1.2 采购目的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通过采购</w:t>
      </w:r>
      <w:r>
        <w:rPr>
          <w:rFonts w:ascii="Times New Roman" w:eastAsia="方正仿宋_GBK" w:cs="Times New Roman" w:hAnsi="Times New Roman"/>
          <w:color w:val="000000"/>
          <w:szCs w:val="32"/>
          <w:shd w:val="clear" w:color="auto" w:fill="auto"/>
        </w:rPr>
        <w:t>机动车号牌管理信息系统软硬件设</w:t>
      </w:r>
      <w:r>
        <w:rPr>
          <w:color w:val="000000"/>
          <w:szCs w:val="32"/>
          <w:shd w:val="clear" w:color="auto" w:fill="auto"/>
        </w:rPr>
        <w:t>备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服务，</w:t>
      </w:r>
      <w:r>
        <w:rPr>
          <w:rFonts w:ascii="Times New Roman" w:eastAsia="方正仿宋_GBK" w:hAnsi="Times New Roman" w:hint="eastAsia"/>
          <w:sz w:val="32"/>
          <w:szCs w:val="32"/>
        </w:rPr>
        <w:t>从根本上解决当前存在的问题，切实保障</w:t>
      </w:r>
      <w:r>
        <w:rPr>
          <w:rFonts w:ascii="Times New Roman" w:eastAsia="方正仿宋_GBK" w:cs="Times New Roman" w:hAnsi="Times New Roman"/>
          <w:color w:val="000000"/>
          <w:szCs w:val="32"/>
          <w:shd w:val="clear" w:color="auto" w:fill="auto"/>
        </w:rPr>
        <w:t>路易通</w:t>
      </w:r>
      <w:r>
        <w:rPr>
          <w:rFonts w:ascii="Times New Roman" w:eastAsia="方正仿宋_GBK" w:hAnsi="Times New Roman" w:hint="eastAsia"/>
          <w:sz w:val="32"/>
          <w:szCs w:val="32"/>
        </w:rPr>
        <w:t>公司核心业务系统的持续稳定运行，进一步强化网络边界防护、抵御高级威胁入侵、规范网络访问行为，并为后续业务拓展提供坚实技术支撑，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1.3 采购标的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本次采购标的为“</w:t>
      </w:r>
      <w:r>
        <w:rPr>
          <w:rFonts w:ascii="Times New Roman" w:eastAsia="方正仿宋_GBK" w:cs="Times New Roman" w:hAnsi="Times New Roman"/>
          <w:color w:val="000000"/>
          <w:szCs w:val="32"/>
          <w:shd w:val="clear" w:color="auto" w:fill="auto"/>
        </w:rPr>
        <w:t>机动车号牌管理信息系统软硬件设</w:t>
      </w:r>
      <w:r>
        <w:rPr>
          <w:color w:val="000000"/>
          <w:szCs w:val="32"/>
          <w:shd w:val="clear" w:color="auto" w:fill="auto"/>
        </w:rPr>
        <w:t>备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”服务，具体包括</w:t>
      </w:r>
      <w:r>
        <w:rPr>
          <w:rFonts w:cs="Times New Roman"/>
          <w:sz w:val="32"/>
          <w:szCs w:val="32"/>
          <w:lang w:val="en-US" w:eastAsia="zh-CN"/>
          <w:highlight w:val="none"/>
        </w:rPr>
        <w:t>应用服务器、数据库服务器、交换机、防火墙、日志审计、数据迁移及实施服务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，最终交付符合要求的</w:t>
      </w:r>
      <w:r>
        <w:rPr>
          <w:rFonts w:cs="Times New Roman"/>
          <w:sz w:val="32"/>
          <w:szCs w:val="32"/>
          <w:lang w:val="en-US" w:eastAsia="zh-CN"/>
          <w:highlight w:val="none"/>
        </w:rPr>
        <w:t>系统集成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成果，服务过程需严格遵循国家强制性标准。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ascii="方正黑体_GBK" w:eastAsia="方正黑体_GBK" w:cs="方正黑体_GBK" w:hAnsi="方正黑体_GBK" w:hint="eastAsia"/>
          <w:b w:val="0"/>
          <w:bCs w:val="0"/>
          <w:sz w:val="32"/>
          <w:szCs w:val="32"/>
          <w:lang w:val="en-US" w:eastAsia="zh-CN"/>
          <w:highlight w:val="none"/>
        </w:rPr>
      </w:pPr>
      <w:r>
        <w:rPr>
          <w:rFonts w:ascii="方正黑体_GBK" w:eastAsia="方正黑体_GBK" w:cs="方正黑体_GBK" w:hAnsi="方正黑体_GBK" w:hint="eastAsia"/>
          <w:b w:val="0"/>
          <w:bCs w:val="0"/>
          <w:sz w:val="32"/>
          <w:szCs w:val="32"/>
          <w:lang w:val="en-US" w:eastAsia="zh-CN"/>
          <w:highlight w:val="none"/>
        </w:rPr>
        <w:t>二、采购核心技术要求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本项目核心技术要求围绕</w:t>
      </w:r>
      <w:r>
        <w:rPr>
          <w:rFonts w:cs="Times New Roman"/>
          <w:sz w:val="32"/>
          <w:szCs w:val="32"/>
          <w:lang w:val="en-US" w:eastAsia="zh-CN"/>
          <w:highlight w:val="none"/>
        </w:rPr>
        <w:t>项目需求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的专业性、前瞻性、可操作性展开，供应商需具备相应的技术能力、行业经验及保密资质，确保</w:t>
      </w:r>
      <w:r>
        <w:rPr>
          <w:rFonts w:cs="Times New Roman"/>
          <w:sz w:val="32"/>
          <w:szCs w:val="32"/>
          <w:lang w:val="en-US" w:eastAsia="zh-CN"/>
          <w:highlight w:val="none"/>
        </w:rPr>
        <w:t>项目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具备落地条件，具体如下：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2.1 供应商资质与技术能力要求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供应商需在中华人民共和国境内依法成立三年以上的法人，无犯罪记录且近三年内未被吊销相关资质，法定代表人、主要负责人、实际控制人未被列入失信人员名单。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近3年内具有至少1个</w:t>
      </w:r>
      <w:r>
        <w:rPr>
          <w:rFonts w:cs="Times New Roman"/>
          <w:sz w:val="32"/>
          <w:szCs w:val="32"/>
          <w:lang w:val="en-US" w:eastAsia="zh-CN"/>
          <w:highlight w:val="none"/>
        </w:rPr>
        <w:t>类似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项目案例（需提供合同复印件、成果证明等相关材料），且项目履约情况良好。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2.2 规划设计核心技术要求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供应商需围绕“</w:t>
      </w:r>
      <w:r>
        <w:rPr>
          <w:rFonts w:ascii="Times New Roman" w:eastAsia="方正仿宋_GBK" w:cs="Times New Roman" w:hAnsi="Times New Roman"/>
          <w:color w:val="000000"/>
          <w:szCs w:val="32"/>
          <w:shd w:val="clear" w:color="auto" w:fill="auto"/>
        </w:rPr>
        <w:t>机动车号牌管理信息系统软硬件设</w:t>
      </w:r>
      <w:r>
        <w:rPr>
          <w:color w:val="000000"/>
          <w:szCs w:val="32"/>
          <w:shd w:val="clear" w:color="auto" w:fill="auto"/>
        </w:rPr>
        <w:t>备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”开展系统性规划研究，严格按照以下</w:t>
      </w:r>
      <w:r>
        <w:rPr>
          <w:rFonts w:cs="Times New Roman" w:hint="eastAsia"/>
          <w:color w:val="000000"/>
          <w:sz w:val="32"/>
          <w:szCs w:val="32"/>
          <w:lang w:val="en-US" w:eastAsia="zh-CN"/>
          <w:highlight w:val="none"/>
        </w:rPr>
        <w:t>7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个核心方面开展工作，确保内容全面、深入、可落地，符合</w:t>
      </w:r>
      <w:r>
        <w:rPr>
          <w:rFonts w:cs="Times New Roman"/>
          <w:sz w:val="32"/>
          <w:szCs w:val="32"/>
          <w:lang w:val="en-US" w:eastAsia="zh-CN"/>
          <w:highlight w:val="none"/>
        </w:rPr>
        <w:t>路易通公司未来至少五年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发展实际：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 xml:space="preserve">2.2.1 </w:t>
      </w:r>
      <w:r>
        <w:rPr>
          <w:rFonts w:cs="Times New Roman"/>
          <w:sz w:val="32"/>
          <w:szCs w:val="32"/>
          <w:lang w:val="en-US" w:eastAsia="zh-CN"/>
          <w:highlight w:val="none"/>
        </w:rPr>
        <w:t>国产化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技术要求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/>
          <w:sz w:val="32"/>
          <w:szCs w:val="32"/>
          <w:lang w:val="en-US" w:eastAsia="zh-CN"/>
          <w:highlight w:val="none"/>
        </w:rPr>
      </w:pPr>
      <w:r>
        <w:rPr>
          <w:rFonts w:cs="Times New Roman"/>
          <w:sz w:val="32"/>
          <w:szCs w:val="32"/>
          <w:lang w:val="en-US" w:eastAsia="zh-CN"/>
          <w:highlight w:val="none"/>
        </w:rPr>
        <w:t>明确软硬件替换范围、替换周期，全部设备 / 软件纳入信创目录，选用合规国产芯片、整机、软件。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/>
          <w:sz w:val="32"/>
          <w:szCs w:val="32"/>
          <w:lang w:val="en-US" w:eastAsia="zh-CN"/>
          <w:highlight w:val="none"/>
        </w:rPr>
      </w:pPr>
      <w:r>
        <w:rPr>
          <w:rFonts w:ascii="Times New Roman" w:eastAsia="方正仿宋_GBK" w:cs="Times New Roman" w:hAnsi="Times New Roman"/>
          <w:color w:val="000000"/>
          <w:szCs w:val="32"/>
          <w:shd w:val="clear" w:color="auto" w:fill="auto"/>
        </w:rPr>
        <w:t>制定软硬件互认证、兼容性测试方案，解决新旧系统、国产软件之间适配问题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ind w:firstLineChars="200" w:firstLine="640"/>
        <w:rPr>
          <w:rFonts w:hint="eastAsia"/>
          <w:szCs w:val="32"/>
          <w:highlight w:val="none"/>
        </w:rPr>
      </w:pPr>
      <w:r>
        <w:rPr>
          <w:szCs w:val="32"/>
        </w:rPr>
        <w:t>设计利旧 + 逐步替换过渡模式，保障五年平稳迁移，杜绝一刀切停机风险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 xml:space="preserve">2.2.2 </w:t>
      </w:r>
      <w:r>
        <w:rPr>
          <w:rFonts w:cs="Times New Roman"/>
          <w:sz w:val="32"/>
          <w:szCs w:val="32"/>
          <w:lang w:val="en-US" w:eastAsia="zh-CN"/>
          <w:highlight w:val="none"/>
        </w:rPr>
        <w:t>设备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现状诊断技术要求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深入</w:t>
      </w:r>
      <w:r>
        <w:rPr>
          <w:rFonts w:cs="Times New Roman"/>
          <w:sz w:val="32"/>
          <w:szCs w:val="32"/>
          <w:lang w:val="en-US" w:eastAsia="zh-CN"/>
          <w:highlight w:val="none"/>
        </w:rPr>
        <w:t>了解路易通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公司现有</w:t>
      </w:r>
      <w:r>
        <w:rPr>
          <w:rFonts w:cs="Times New Roman"/>
          <w:sz w:val="32"/>
          <w:szCs w:val="32"/>
          <w:lang w:val="en-US" w:eastAsia="zh-CN"/>
          <w:highlight w:val="none"/>
        </w:rPr>
        <w:t>机房设备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基础，包括但不限于</w:t>
      </w:r>
      <w:r>
        <w:rPr>
          <w:rFonts w:cs="Times New Roman"/>
          <w:sz w:val="32"/>
          <w:szCs w:val="32"/>
          <w:lang w:val="en-US" w:eastAsia="zh-CN"/>
          <w:highlight w:val="none"/>
        </w:rPr>
        <w:t>在用服务器、存储、交换机、终端、网络架构、操作系统、数据库、业务应用，统计设备型号、使用年限、负载、性能瓶颈、故障率、维保到期时间。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ind w:firstLineChars="200" w:firstLine="640"/>
        <w:rPr>
          <w:rFonts w:hint="eastAsia"/>
          <w:szCs w:val="32"/>
          <w:highlight w:val="none"/>
        </w:rPr>
      </w:pPr>
      <w:r>
        <w:rPr>
          <w:rFonts w:cs="Times New Roman"/>
          <w:sz w:val="32"/>
          <w:szCs w:val="32"/>
          <w:lang w:val="en-US" w:eastAsia="zh-CN"/>
          <w:highlight w:val="none"/>
        </w:rPr>
        <w:t>梳理业务流程、系统功能、数据流转，排查卡顿、兼容性差</w:t>
      </w:r>
      <w:r>
        <w:rPr>
          <w:szCs w:val="32"/>
        </w:rPr>
        <w:t>、数据孤岛、权限混乱、运维繁琐等问题。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ind w:firstLineChars="200" w:firstLine="640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szCs w:val="32"/>
        </w:rPr>
        <w:t>综合以上基础，</w:t>
      </w:r>
      <w:r>
        <w:rPr>
          <w:rFonts w:hint="eastAsia"/>
          <w:szCs w:val="32"/>
        </w:rPr>
        <w:t>系统评估</w:t>
      </w:r>
      <w:r>
        <w:rPr>
          <w:szCs w:val="32"/>
        </w:rPr>
        <w:t>路易通</w:t>
      </w:r>
      <w:r>
        <w:rPr>
          <w:rFonts w:hint="eastAsia"/>
          <w:szCs w:val="32"/>
        </w:rPr>
        <w:t>公司</w:t>
      </w:r>
      <w:r>
        <w:rPr>
          <w:szCs w:val="32"/>
        </w:rPr>
        <w:t>机房整体情况，</w:t>
      </w:r>
      <w:r>
        <w:rPr>
          <w:rFonts w:hint="eastAsia"/>
          <w:szCs w:val="32"/>
        </w:rPr>
        <w:t>明确</w:t>
      </w:r>
      <w:r>
        <w:rPr>
          <w:szCs w:val="32"/>
        </w:rPr>
        <w:t>路易通</w:t>
      </w:r>
      <w:r>
        <w:rPr>
          <w:rFonts w:hint="eastAsia"/>
          <w:szCs w:val="32"/>
        </w:rPr>
        <w:t>公司</w:t>
      </w:r>
      <w:r>
        <w:rPr>
          <w:szCs w:val="32"/>
        </w:rPr>
        <w:t>机房</w:t>
      </w:r>
      <w:r>
        <w:rPr>
          <w:rFonts w:hint="eastAsia"/>
          <w:szCs w:val="32"/>
        </w:rPr>
        <w:t>短板，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提出针对性的提升方向和初步建议，为后续</w:t>
      </w:r>
      <w:r>
        <w:rPr>
          <w:rFonts w:cs="Times New Roman"/>
          <w:sz w:val="32"/>
          <w:szCs w:val="32"/>
          <w:lang w:val="en-US" w:eastAsia="zh-CN"/>
          <w:highlight w:val="none"/>
        </w:rPr>
        <w:t>采购</w:t>
      </w:r>
      <w:r>
        <w:rPr>
          <w:rFonts w:ascii="Times New Roman" w:eastAsia="方正仿宋_GBK" w:cs="Times New Roman" w:hAnsi="Times New Roman"/>
          <w:color w:val="000000"/>
          <w:szCs w:val="32"/>
          <w:shd w:val="clear" w:color="auto" w:fill="auto"/>
        </w:rPr>
        <w:t>机动车号牌管理信息系统软硬件设</w:t>
      </w:r>
      <w:r>
        <w:rPr>
          <w:color w:val="000000"/>
          <w:szCs w:val="32"/>
          <w:shd w:val="clear" w:color="auto" w:fill="auto"/>
        </w:rPr>
        <w:t>备</w:t>
      </w:r>
      <w:r>
        <w:rPr>
          <w:rFonts w:cs="Times New Roman"/>
          <w:sz w:val="32"/>
          <w:szCs w:val="32"/>
          <w:lang w:val="en-US" w:eastAsia="zh-CN"/>
          <w:highlight w:val="none"/>
        </w:rPr>
        <w:t>项目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提供依据。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 xml:space="preserve">2.2.3 </w:t>
      </w:r>
      <w:r>
        <w:rPr>
          <w:rFonts w:cs="Times New Roman"/>
          <w:sz w:val="32"/>
          <w:szCs w:val="32"/>
          <w:lang w:val="en-US" w:eastAsia="zh-CN"/>
          <w:highlight w:val="none"/>
        </w:rPr>
        <w:t>需求分析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技术要求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ind w:leftChars="50" w:left="160" w:firstLineChars="150" w:firstLine="480"/>
        <w:rPr>
          <w:szCs w:val="32"/>
        </w:rPr>
      </w:pPr>
      <w:r>
        <w:rPr>
          <w:szCs w:val="32"/>
        </w:rPr>
        <w:t xml:space="preserve">结合公司业务扩张、人员增长、新业务上线、分支机构拓展，测算未来用户量、并发数、数据存储增量、算力需求。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ind w:leftChars="50" w:left="160" w:firstLineChars="150" w:firstLine="480"/>
        <w:rPr>
          <w:rFonts w:hint="eastAsia"/>
          <w:szCs w:val="32"/>
        </w:rPr>
      </w:pPr>
      <w:r>
        <w:rPr>
          <w:rFonts w:hint="eastAsia"/>
          <w:szCs w:val="32"/>
        </w:rPr>
        <w:t>明确国产化 / 信创、等保、数据安全、行业监管要求，锁定五年内合规红线。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 xml:space="preserve">2.2.4 </w:t>
      </w:r>
      <w:r>
        <w:rPr>
          <w:rFonts w:cs="Times New Roman"/>
          <w:sz w:val="32"/>
          <w:szCs w:val="32"/>
          <w:lang w:val="en-US" w:eastAsia="zh-CN"/>
          <w:highlight w:val="none"/>
        </w:rPr>
        <w:t>总体架构规划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技术要求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szCs w:val="32"/>
        </w:rPr>
      </w:pPr>
      <w:r>
        <w:rPr>
          <w:rFonts w:hint="eastAsia"/>
          <w:szCs w:val="32"/>
        </w:rPr>
        <w:t>统一规划硬件层、操作系统层、基础软件层、业务应用层、数据层、安全层</w:t>
      </w:r>
      <w:r>
        <w:rPr>
          <w:szCs w:val="32"/>
        </w:rPr>
        <w:t>六</w:t>
      </w:r>
      <w:r>
        <w:rPr>
          <w:rFonts w:hint="eastAsia"/>
          <w:szCs w:val="32"/>
        </w:rPr>
        <w:t>层架构。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szCs w:val="32"/>
        </w:rPr>
      </w:pPr>
      <w:r>
        <w:rPr>
          <w:szCs w:val="32"/>
        </w:rPr>
        <w:t>确定部署模式，规划主备、集群、容灾架构。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/>
          <w:sz w:val="32"/>
          <w:szCs w:val="32"/>
          <w:lang w:val="en-US" w:eastAsia="zh-CN"/>
          <w:highlight w:val="none"/>
        </w:rPr>
        <w:t>制定统一硬件选型标准、软件版本标准、命名规范、接口标准、数据标准，保障五年内扩容、迭代统一。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 xml:space="preserve">2.2.5 </w:t>
      </w:r>
      <w:r>
        <w:rPr>
          <w:rFonts w:cs="Times New Roman"/>
          <w:sz w:val="32"/>
          <w:szCs w:val="32"/>
          <w:lang w:val="en-US" w:eastAsia="zh-CN"/>
          <w:highlight w:val="none"/>
        </w:rPr>
        <w:t>硬件体系规划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技术要求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区分数据库、应用服务器，确定 CPU 架构（x86 海光 / ARM）、配置档位、数量、冗余策略，预留 3–5 年算力扩容空间。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/>
          <w:sz w:val="32"/>
          <w:szCs w:val="32"/>
          <w:lang w:val="en-US" w:eastAsia="zh-CN"/>
          <w:highlight w:val="none"/>
        </w:rPr>
        <w:t>规划块存储、文件存储、备份存储容量，按年均数据增速测算五年总容量，设计 RAID/EC 策略、快照、备份、异地容灾架构，统一存储协议与对接标准。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</w:pPr>
      <w:r>
        <w:t>规划业务网、存储网，带宽、端口、堆叠、链路冗余、VLAN 规划，匹配未来业务流量增长；网络安全设备同步配套。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 xml:space="preserve">2.2.6 </w:t>
      </w:r>
      <w:r>
        <w:rPr>
          <w:rFonts w:cs="Times New Roman"/>
          <w:sz w:val="32"/>
          <w:szCs w:val="32"/>
          <w:lang w:val="en-US" w:eastAsia="zh-CN"/>
          <w:highlight w:val="none"/>
        </w:rPr>
        <w:t>安全与合规体系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规划技术要求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ind w:firstLineChars="200" w:firstLine="640"/>
        <w:rPr>
          <w:rFonts w:cs="Times New Roman"/>
          <w:sz w:val="32"/>
          <w:szCs w:val="32"/>
          <w:lang w:val="en-US" w:eastAsia="zh-CN"/>
          <w:highlight w:val="none"/>
        </w:rPr>
      </w:pPr>
      <w:r>
        <w:rPr>
          <w:rFonts w:cs="Times New Roman"/>
          <w:sz w:val="32"/>
          <w:szCs w:val="32"/>
          <w:lang w:val="en-US" w:eastAsia="zh-CN"/>
          <w:highlight w:val="none"/>
        </w:rPr>
        <w:t>防火墙、入侵防御、终端安全、主机加固、漏洞管理体系建设。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ind w:firstLineChars="200" w:firstLine="640"/>
        <w:rPr>
          <w:rFonts w:hint="eastAsia"/>
          <w:szCs w:val="32"/>
        </w:rPr>
      </w:pPr>
      <w:r>
        <w:rPr>
          <w:szCs w:val="32"/>
        </w:rPr>
        <w:t>账号管理、操作审计、远程访问管控、安全应急预案。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 xml:space="preserve">2.2.7 </w:t>
      </w:r>
      <w:r>
        <w:rPr>
          <w:rFonts w:cs="Times New Roman"/>
          <w:sz w:val="32"/>
          <w:szCs w:val="32"/>
          <w:lang w:val="en-US" w:eastAsia="zh-CN"/>
          <w:highlight w:val="none"/>
        </w:rPr>
        <w:t>实施部署与分阶段落地计划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技术要求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ind w:firstLineChars="200" w:firstLine="640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/>
          <w:sz w:val="32"/>
          <w:szCs w:val="32"/>
          <w:lang w:val="en-US" w:eastAsia="zh-CN"/>
          <w:highlight w:val="none"/>
        </w:rPr>
        <w:t>明确每个阶段目标、内容、工期、资源、交付物，同时配套：实施方案、割接方案、测试方案、验收标准、风险防控措施。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ascii="方正黑体_GBK" w:eastAsia="方正黑体_GBK" w:cs="方正黑体_GBK" w:hAnsi="方正黑体_GBK" w:hint="eastAsia"/>
          <w:b w:val="0"/>
          <w:bCs w:val="0"/>
          <w:sz w:val="32"/>
          <w:szCs w:val="32"/>
          <w:lang w:val="en-US" w:eastAsia="zh-CN"/>
          <w:highlight w:val="none"/>
        </w:rPr>
      </w:pPr>
      <w:r>
        <w:rPr>
          <w:rFonts w:ascii="方正黑体_GBK" w:eastAsia="方正黑体_GBK" w:cs="方正黑体_GBK" w:hAnsi="方正黑体_GBK" w:hint="eastAsia"/>
          <w:b w:val="0"/>
          <w:bCs w:val="0"/>
          <w:sz w:val="32"/>
          <w:szCs w:val="32"/>
          <w:lang w:val="en-US" w:eastAsia="zh-CN"/>
          <w:highlight w:val="none"/>
        </w:rPr>
        <w:t>三、服务要求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3.1 服务流程要求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1. 调研阶段：供应商需成立专项服务团队，深入</w:t>
      </w:r>
      <w:r>
        <w:rPr>
          <w:rFonts w:cs="Times New Roman"/>
          <w:sz w:val="32"/>
          <w:szCs w:val="32"/>
          <w:lang w:val="en-US" w:eastAsia="zh-CN"/>
          <w:highlight w:val="none"/>
        </w:rPr>
        <w:t>路易通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公司开展实地调研，收集相关数据、资料，与公司相关部门负责人、技术人员进行充分沟通，全面了解公司</w:t>
      </w:r>
      <w:r>
        <w:rPr>
          <w:rFonts w:cs="Times New Roman"/>
          <w:sz w:val="32"/>
          <w:szCs w:val="32"/>
          <w:lang w:val="en-US" w:eastAsia="zh-CN"/>
          <w:highlight w:val="none"/>
        </w:rPr>
        <w:t>计算机房设备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现状及需求，调研过程需严格遵守公司保密规定，不得泄露涉密信息。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2. 方案设计阶段：基于调研结果，按照</w:t>
      </w:r>
      <w:r>
        <w:rPr>
          <w:rFonts w:cs="Times New Roman"/>
          <w:sz w:val="32"/>
          <w:szCs w:val="32"/>
          <w:lang w:val="en-US" w:eastAsia="zh-CN"/>
          <w:highlight w:val="none"/>
        </w:rPr>
        <w:t>规划设计核心7个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技术要求，开展规划方案设计，形成初步规划报告，明确各核心模块的具体内容，方案设计需融入行业先进经验和相关标准要求。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 xml:space="preserve">3. </w:t>
      </w:r>
      <w:r>
        <w:rPr>
          <w:rFonts w:cs="Times New Roman"/>
          <w:sz w:val="32"/>
          <w:szCs w:val="32"/>
          <w:lang w:val="en-US" w:eastAsia="zh-CN"/>
          <w:highlight w:val="none"/>
        </w:rPr>
        <w:t>集中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论证阶段：组织</w:t>
      </w:r>
      <w:r>
        <w:rPr>
          <w:rFonts w:cs="Times New Roman"/>
          <w:sz w:val="32"/>
          <w:szCs w:val="32"/>
          <w:lang w:val="en-US" w:eastAsia="zh-CN"/>
          <w:highlight w:val="none"/>
        </w:rPr>
        <w:t>重庆安保集团风控部、数字化部、采购办、中虎公司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、</w:t>
      </w:r>
      <w:r>
        <w:rPr>
          <w:rFonts w:cs="Times New Roman"/>
          <w:sz w:val="32"/>
          <w:szCs w:val="32"/>
          <w:lang w:val="en-US" w:eastAsia="zh-CN"/>
          <w:highlight w:val="none"/>
        </w:rPr>
        <w:t>路易通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公司相关负责人对初步规划报告进行论证，听取</w:t>
      </w:r>
      <w:r>
        <w:rPr>
          <w:rFonts w:cs="Times New Roman"/>
          <w:sz w:val="32"/>
          <w:szCs w:val="32"/>
          <w:lang w:val="en-US" w:eastAsia="zh-CN"/>
          <w:highlight w:val="none"/>
        </w:rPr>
        <w:t>各方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建议，根据论证结果对初步报告进行修改完善，形成</w:t>
      </w:r>
      <w:r>
        <w:rPr>
          <w:rFonts w:cs="Times New Roman"/>
          <w:sz w:val="32"/>
          <w:szCs w:val="32"/>
          <w:lang w:val="en-US" w:eastAsia="zh-CN"/>
          <w:highlight w:val="none"/>
        </w:rPr>
        <w:t>最终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版规划报告。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 xml:space="preserve">4. </w:t>
      </w:r>
      <w:r>
        <w:rPr>
          <w:rFonts w:cs="Times New Roman"/>
          <w:sz w:val="32"/>
          <w:szCs w:val="32"/>
          <w:lang w:val="en-US" w:eastAsia="zh-CN"/>
          <w:highlight w:val="none"/>
        </w:rPr>
        <w:t>招标实施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阶段：根据</w:t>
      </w:r>
      <w:r>
        <w:rPr>
          <w:rFonts w:cs="Times New Roman"/>
          <w:sz w:val="32"/>
          <w:szCs w:val="32"/>
          <w:lang w:val="en-US" w:eastAsia="zh-CN"/>
          <w:highlight w:val="none"/>
        </w:rPr>
        <w:t>最终版规划报告编制招标文件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，</w:t>
      </w:r>
      <w:r>
        <w:rPr>
          <w:rFonts w:cs="Times New Roman"/>
          <w:sz w:val="32"/>
          <w:szCs w:val="32"/>
          <w:lang w:val="en-US" w:eastAsia="zh-CN"/>
          <w:highlight w:val="none"/>
        </w:rPr>
        <w:t>集中组织所有意向投标人踏勘项目现场，标前答疑、澄清与补遗，组织开标、封闭评标、公示中标候选人、发放中标通知书、签订合同等，中标人严格按照招标文件、合同实施项目，完成项目交付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5. 后续服务阶段：交付成果后，提供不少于6个月的免费技术</w:t>
      </w:r>
      <w:r>
        <w:rPr>
          <w:rFonts w:cs="Times New Roman"/>
          <w:sz w:val="32"/>
          <w:szCs w:val="32"/>
          <w:lang w:val="en-US" w:eastAsia="zh-CN"/>
          <w:highlight w:val="none"/>
        </w:rPr>
        <w:t>运维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服务，解答公司</w:t>
      </w:r>
      <w:r>
        <w:rPr>
          <w:rFonts w:cs="Times New Roman"/>
          <w:sz w:val="32"/>
          <w:szCs w:val="32"/>
          <w:lang w:val="en-US" w:eastAsia="zh-CN"/>
          <w:highlight w:val="none"/>
        </w:rPr>
        <w:t>在机房设备运行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过程中遇到的相关问题。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3.2 服务质量要求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规划报告需逻辑清晰、内容全面、数据准确、论证充分，符合本需求方案的各项技术要求，具有前瞻性、可操作性，能够为</w:t>
      </w:r>
      <w:r>
        <w:rPr>
          <w:rFonts w:cs="Times New Roman"/>
          <w:sz w:val="32"/>
          <w:szCs w:val="32"/>
          <w:lang w:val="en-US" w:eastAsia="zh-CN"/>
          <w:highlight w:val="none"/>
        </w:rPr>
        <w:t>路易通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公司“十五五”</w:t>
      </w:r>
      <w:r>
        <w:rPr>
          <w:rFonts w:ascii="Times New Roman" w:eastAsia="方正仿宋_GBK" w:cs="Times New Roman" w:hAnsi="Times New Roman"/>
          <w:color w:val="000000"/>
          <w:szCs w:val="32"/>
          <w:shd w:val="clear" w:color="auto" w:fill="auto"/>
        </w:rPr>
        <w:t>机动车号牌管理信息系统软硬件的数智化改造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提供科学依据，符合相关国家政策及行业标准。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服务过程中，供应商需及时响应公司的沟通需求，定期提交服务进展报告，主动反馈</w:t>
      </w:r>
      <w:r>
        <w:rPr>
          <w:rFonts w:cs="Times New Roman"/>
          <w:sz w:val="32"/>
          <w:szCs w:val="32"/>
          <w:lang w:val="en-US" w:eastAsia="zh-CN"/>
          <w:highlight w:val="none"/>
        </w:rPr>
        <w:t>实施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过程中的问题，确保服务进度符合约定要求，不得拖延、推诿。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供应商需严格遵守国家法律法规、行业规范及公司相关规定，尊重公司的知识产权和商业秘密、涉密信息，不得向第三方泄露本次</w:t>
      </w:r>
      <w:r>
        <w:rPr>
          <w:rFonts w:cs="Times New Roman"/>
          <w:sz w:val="32"/>
          <w:szCs w:val="32"/>
          <w:lang w:val="en-US" w:eastAsia="zh-CN"/>
          <w:highlight w:val="none"/>
        </w:rPr>
        <w:t>服务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过程中获取的公司相关数据、资料，服务结束后，需返还所有涉密资料（含电子版），不得留存。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3.3 服务时限要求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自合同签订之日起，供应商</w:t>
      </w:r>
      <w:r>
        <w:rPr>
          <w:rFonts w:cs="Times New Roman"/>
          <w:sz w:val="32"/>
          <w:szCs w:val="32"/>
          <w:lang w:val="en-US" w:eastAsia="zh-CN"/>
          <w:highlight w:val="none"/>
        </w:rPr>
        <w:t>应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在</w:t>
      </w:r>
      <w:r>
        <w:rPr>
          <w:rFonts w:cs="Times New Roman"/>
          <w:sz w:val="32"/>
          <w:szCs w:val="32"/>
          <w:lang w:val="en-US" w:eastAsia="zh-CN"/>
          <w:highlight w:val="none"/>
        </w:rPr>
        <w:t>45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个工作日内完成</w:t>
      </w:r>
      <w:r>
        <w:rPr>
          <w:rFonts w:cs="Times New Roman"/>
          <w:sz w:val="32"/>
          <w:szCs w:val="32"/>
          <w:lang w:val="en-US" w:eastAsia="zh-CN"/>
          <w:highlight w:val="none"/>
        </w:rPr>
        <w:t>核心基础设备安装工作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；</w:t>
      </w:r>
      <w:r>
        <w:rPr>
          <w:rFonts w:cs="Times New Roman"/>
          <w:sz w:val="32"/>
          <w:szCs w:val="32"/>
          <w:lang w:val="en-US" w:eastAsia="zh-CN"/>
          <w:highlight w:val="none"/>
        </w:rPr>
        <w:t>设备验收合格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后</w:t>
      </w:r>
      <w:r>
        <w:rPr>
          <w:rFonts w:cs="Times New Roman"/>
          <w:sz w:val="32"/>
          <w:szCs w:val="32"/>
          <w:lang w:val="en-US" w:eastAsia="zh-CN"/>
          <w:highlight w:val="none"/>
        </w:rPr>
        <w:t>15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个工作日内完成</w:t>
      </w:r>
      <w:r>
        <w:rPr>
          <w:rFonts w:cs="Times New Roman"/>
          <w:sz w:val="32"/>
          <w:szCs w:val="32"/>
          <w:lang w:val="en-US" w:eastAsia="zh-CN"/>
          <w:highlight w:val="none"/>
        </w:rPr>
        <w:t>系统部署与调试，并整改完毕测试过程中发现的缺陷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；</w:t>
      </w:r>
      <w:r>
        <w:rPr>
          <w:rFonts w:cs="Times New Roman"/>
          <w:sz w:val="32"/>
          <w:szCs w:val="32"/>
          <w:lang w:val="en-US" w:eastAsia="zh-CN"/>
          <w:highlight w:val="none"/>
        </w:rPr>
        <w:t>系统测试验收通过后，设备需完成72小时连续满负荷试无故障试运行，试运行达标后方可交付项目成果并组织竣工最终验收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ascii="方正黑体_GBK" w:eastAsia="方正黑体_GBK" w:cs="方正黑体_GBK" w:hAnsi="方正黑体_GBK" w:hint="eastAsia"/>
          <w:b w:val="0"/>
          <w:bCs w:val="0"/>
          <w:sz w:val="32"/>
          <w:szCs w:val="32"/>
          <w:lang w:val="en-US" w:eastAsia="zh-CN"/>
          <w:highlight w:val="none"/>
        </w:rPr>
      </w:pPr>
      <w:r>
        <w:rPr>
          <w:rFonts w:ascii="方正黑体_GBK" w:eastAsia="方正黑体_GBK" w:cs="方正黑体_GBK" w:hAnsi="方正黑体_GBK" w:hint="eastAsia"/>
          <w:b w:val="0"/>
          <w:bCs w:val="0"/>
          <w:sz w:val="32"/>
          <w:szCs w:val="32"/>
          <w:lang w:val="en-US" w:eastAsia="zh-CN"/>
          <w:highlight w:val="none"/>
        </w:rPr>
        <w:t>四、成果要求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 xml:space="preserve">4.1 </w:t>
      </w:r>
      <w:r>
        <w:rPr>
          <w:rFonts w:cs="Times New Roman"/>
          <w:sz w:val="32"/>
          <w:szCs w:val="32"/>
          <w:lang w:val="en-US" w:eastAsia="zh-CN"/>
          <w:highlight w:val="none"/>
        </w:rPr>
        <w:t>初步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成果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《</w:t>
      </w:r>
      <w:r>
        <w:rPr>
          <w:rFonts w:ascii="Times New Roman" w:eastAsia="方正仿宋_GBK" w:cs="Times New Roman" w:hAnsi="Times New Roman"/>
          <w:color w:val="000000"/>
          <w:szCs w:val="32"/>
          <w:shd w:val="clear" w:color="auto" w:fill="auto"/>
        </w:rPr>
        <w:t>机动车号牌管理信息系统软硬件设</w:t>
      </w:r>
      <w:r>
        <w:rPr>
          <w:color w:val="000000"/>
          <w:szCs w:val="32"/>
          <w:shd w:val="clear" w:color="auto" w:fill="auto"/>
        </w:rPr>
        <w:t>备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专项规划报告》（</w:t>
      </w:r>
      <w:r>
        <w:rPr>
          <w:rFonts w:cs="Times New Roman"/>
          <w:sz w:val="32"/>
          <w:szCs w:val="32"/>
          <w:lang w:val="en-US" w:eastAsia="zh-CN"/>
          <w:highlight w:val="none"/>
        </w:rPr>
        <w:t>初步规划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版），具体要求如下：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报告需涵盖本需求方案中“规划设计核心技术要求”的全部7个方面内容，内容完整、重点突出，符合</w:t>
      </w:r>
      <w:r>
        <w:rPr>
          <w:rFonts w:cs="Times New Roman"/>
          <w:sz w:val="32"/>
          <w:szCs w:val="32"/>
          <w:lang w:val="en-US" w:eastAsia="zh-CN"/>
          <w:highlight w:val="none"/>
        </w:rPr>
        <w:t>路易通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公司“十五五”</w:t>
      </w:r>
      <w:r>
        <w:rPr>
          <w:rFonts w:ascii="Times New Roman" w:eastAsia="方正仿宋_GBK" w:cs="Times New Roman" w:hAnsi="Times New Roman"/>
          <w:color w:val="000000"/>
          <w:szCs w:val="32"/>
          <w:shd w:val="clear" w:color="auto" w:fill="auto"/>
        </w:rPr>
        <w:t>机动车号牌管理信息系统软硬件的数智化改造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，融入相关政策及标准要求。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报告需提出的</w:t>
      </w:r>
      <w:r>
        <w:rPr>
          <w:rFonts w:cs="Times New Roman"/>
          <w:sz w:val="32"/>
          <w:szCs w:val="32"/>
          <w:lang w:val="en-US" w:eastAsia="zh-CN"/>
          <w:highlight w:val="none"/>
        </w:rPr>
        <w:t>供应商推荐的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产品体系、技术</w:t>
      </w:r>
      <w:r>
        <w:rPr>
          <w:rFonts w:cs="Times New Roman"/>
          <w:sz w:val="32"/>
          <w:szCs w:val="32"/>
          <w:lang w:val="en-US" w:eastAsia="zh-CN"/>
          <w:highlight w:val="none"/>
        </w:rPr>
        <w:t>配置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等需</w:t>
      </w:r>
      <w:r>
        <w:rPr>
          <w:rFonts w:cs="Times New Roman"/>
          <w:sz w:val="32"/>
          <w:szCs w:val="32"/>
          <w:lang w:val="en-US" w:eastAsia="zh-CN"/>
          <w:highlight w:val="none"/>
        </w:rPr>
        <w:t>符合实际性、可操作性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性，风险应对策略需具体可行，保密相关内容需符合涉密管理要求。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报告格式规范，需包含封面、目录、摘要、正文、结论、等部分，正文需层次清晰、语言严谨</w:t>
      </w:r>
      <w:r>
        <w:rPr>
          <w:rFonts w:cs="Times New Roman"/>
          <w:sz w:val="32"/>
          <w:szCs w:val="32"/>
          <w:lang w:val="en-US" w:eastAsia="zh-CN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4.2 辅助成果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/>
          <w:sz w:val="32"/>
          <w:szCs w:val="32"/>
          <w:lang w:val="en-US" w:eastAsia="zh-CN"/>
          <w:highlight w:val="none"/>
        </w:rPr>
        <w:t>报价函（格式自拟）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/>
          <w:sz w:val="32"/>
          <w:szCs w:val="32"/>
          <w:lang w:val="en-US" w:eastAsia="zh-CN"/>
          <w:highlight w:val="none"/>
        </w:rPr>
        <w:t>请将初步成果、辅</w:t>
      </w:r>
      <w:bookmarkStart w:id="0" w:name="_GoBack"/>
      <w:bookmarkEnd w:id="0"/>
      <w:r>
        <w:rPr>
          <w:rFonts w:cs="Times New Roman"/>
          <w:sz w:val="32"/>
          <w:szCs w:val="32"/>
          <w:lang w:val="en-US" w:eastAsia="zh-CN"/>
          <w:highlight w:val="none"/>
        </w:rPr>
        <w:t>助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成果的电子版</w:t>
      </w:r>
      <w:r>
        <w:rPr>
          <w:rFonts w:ascii="Times New Roman" w:eastAsia="方正仿宋_GBK" w:cs="Times New Roman" w:hAnsi="Times New Roman"/>
          <w:sz w:val="32"/>
          <w:szCs w:val="32"/>
          <w:lang w:val="en-US" w:eastAsia="zh-CN"/>
          <w:highlight w:val="none"/>
        </w:rPr>
        <w:t>以及</w:t>
      </w:r>
      <w:r>
        <w:rPr>
          <w:rFonts w:ascii="Times New Roman" w:eastAsia="方正仿宋_GBK" w:cs="Times New Roman" w:hAnsi="Times New Roman"/>
          <w:sz w:val="32"/>
          <w:szCs w:val="32"/>
          <w:highlight w:val="none"/>
        </w:rPr>
        <w:t>相应的材料发送至</w:t>
      </w:r>
      <w:r>
        <w:rPr>
          <w:rFonts w:ascii="Times New Roman" w:eastAsia="方正仿宋_GBK" w:cs="Times New Roman" w:hAnsi="Times New Roman"/>
          <w:sz w:val="32"/>
          <w:szCs w:val="32"/>
          <w:highlight w:val="none"/>
        </w:rPr>
        <w:t>反馈邮</w:t>
      </w:r>
      <w:r>
        <w:rPr>
          <w:rFonts w:hAnsi="Times New Roman"/>
          <w:szCs w:val="32"/>
        </w:rPr>
        <w:t xml:space="preserve">箱：1069401689 </w:t>
      </w:r>
      <w:r>
        <w:rPr>
          <w:rFonts w:hAnsi="Times New Roman" w:hint="eastAsia"/>
          <w:szCs w:val="32"/>
        </w:rPr>
        <w:t>@qq.com</w:t>
      </w:r>
      <w:r>
        <w:rPr>
          <w:rFonts w:hAnsi="Times New Roman"/>
          <w:szCs w:val="32"/>
        </w:rPr>
        <w:t>。</w:t>
      </w:r>
      <w:r>
        <w:rPr>
          <w:rFonts w:hint="eastAsia"/>
          <w:szCs w:val="32"/>
        </w:rPr>
        <w:t>（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PDF格式1份</w:t>
      </w:r>
      <w:r>
        <w:rPr>
          <w:rFonts w:cs="Times New Roman"/>
          <w:sz w:val="32"/>
          <w:szCs w:val="32"/>
          <w:lang w:val="en-US" w:eastAsia="zh-CN"/>
          <w:highlight w:val="none"/>
        </w:rPr>
        <w:t>，加盖公章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 xml:space="preserve">4.3 </w:t>
      </w:r>
      <w:r>
        <w:rPr>
          <w:rFonts w:cs="Times New Roman"/>
          <w:sz w:val="32"/>
          <w:szCs w:val="32"/>
          <w:lang w:val="en-US" w:eastAsia="zh-CN"/>
          <w:highlight w:val="none"/>
        </w:rPr>
        <w:t>最终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成果交付要求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供应商需在约定时限内，将所有</w:t>
      </w:r>
      <w:r>
        <w:rPr>
          <w:rFonts w:cs="Times New Roman"/>
          <w:sz w:val="32"/>
          <w:szCs w:val="32"/>
          <w:lang w:val="en-US" w:eastAsia="zh-CN"/>
          <w:highlight w:val="none"/>
        </w:rPr>
        <w:t>采购设备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按要求交付至中虎公司指定地点，</w:t>
      </w:r>
      <w:r>
        <w:rPr>
          <w:rFonts w:cs="Times New Roman"/>
          <w:sz w:val="32"/>
          <w:szCs w:val="32"/>
          <w:lang w:val="en-US" w:eastAsia="zh-CN"/>
          <w:highlight w:val="none"/>
        </w:rPr>
        <w:t>并完成安装、调试、数据迁移、试运行等。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交付后，需配合公司完成成果验收，提供必要的成果解读和答疑服务。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ascii="方正黑体_GBK" w:eastAsia="方正黑体_GBK" w:cs="方正黑体_GBK" w:hAnsi="方正黑体_GBK" w:hint="eastAsia"/>
          <w:b w:val="0"/>
          <w:bCs w:val="0"/>
          <w:sz w:val="32"/>
          <w:szCs w:val="32"/>
          <w:lang w:val="en-US" w:eastAsia="zh-CN"/>
          <w:highlight w:val="none"/>
        </w:rPr>
      </w:pPr>
      <w:r>
        <w:rPr>
          <w:rFonts w:ascii="方正黑体_GBK" w:eastAsia="方正黑体_GBK" w:cs="方正黑体_GBK" w:hAnsi="方正黑体_GBK" w:hint="eastAsia"/>
          <w:b w:val="0"/>
          <w:bCs w:val="0"/>
          <w:sz w:val="32"/>
          <w:szCs w:val="32"/>
          <w:lang w:val="en-US" w:eastAsia="zh-CN"/>
          <w:highlight w:val="none"/>
        </w:rPr>
        <w:t>五、验收标准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5.1 验收组织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由中虎公司组织验收小组，邀请</w:t>
      </w:r>
      <w:r>
        <w:rPr>
          <w:rFonts w:cs="Times New Roman"/>
          <w:sz w:val="32"/>
          <w:szCs w:val="32"/>
          <w:lang w:val="en-US" w:eastAsia="zh-CN"/>
          <w:highlight w:val="none"/>
        </w:rPr>
        <w:t>集团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公司相关部门</w:t>
      </w:r>
      <w:r>
        <w:rPr>
          <w:rFonts w:cs="Times New Roman"/>
          <w:sz w:val="32"/>
          <w:szCs w:val="32"/>
          <w:lang w:val="en-US" w:eastAsia="zh-CN"/>
          <w:highlight w:val="none"/>
        </w:rPr>
        <w:t>、路易通公司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负责人参与验收，验收小组负责对供应商交付的成果、提供的服务进行全面验收，严格按照本需求方案的要求及合同约定执行。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5.2 验收内容及标准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资质验收：供应商需提供相关资质证明文件（营业执照、</w:t>
      </w:r>
      <w:r>
        <w:rPr>
          <w:rFonts w:cs="Times New Roman"/>
          <w:sz w:val="32"/>
          <w:szCs w:val="32"/>
          <w:lang w:val="en-US" w:eastAsia="zh-CN"/>
          <w:highlight w:val="none"/>
        </w:rPr>
        <w:t>系统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集成资质、团队成员资质、案例证明等），确保资质符合本需求方案的要求，文件真实、有效。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ind w:firstLineChars="200" w:firstLine="640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成果验收：</w:t>
      </w:r>
      <w:r>
        <w:rPr>
          <w:rFonts w:cs="Times New Roman"/>
          <w:sz w:val="32"/>
          <w:szCs w:val="32"/>
          <w:lang w:val="en-US" w:eastAsia="zh-CN"/>
          <w:highlight w:val="none"/>
        </w:rPr>
        <w:t>初步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成果《</w:t>
      </w:r>
      <w:r>
        <w:rPr>
          <w:rFonts w:ascii="Times New Roman" w:eastAsia="方正仿宋_GBK" w:cs="Times New Roman" w:hAnsi="Times New Roman"/>
          <w:color w:val="000000"/>
          <w:szCs w:val="32"/>
          <w:shd w:val="clear" w:color="auto" w:fill="auto"/>
        </w:rPr>
        <w:t>机动车号牌管理信息系统软硬件设</w:t>
      </w:r>
      <w:r>
        <w:rPr>
          <w:color w:val="000000"/>
          <w:szCs w:val="32"/>
          <w:shd w:val="clear" w:color="auto" w:fill="auto"/>
        </w:rPr>
        <w:t>备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专项规划报告》需符合本需求方案中“</w:t>
      </w:r>
      <w:r>
        <w:rPr>
          <w:rFonts w:cs="Times New Roman"/>
          <w:sz w:val="32"/>
          <w:szCs w:val="32"/>
          <w:lang w:val="en-US" w:eastAsia="zh-CN"/>
          <w:highlight w:val="none"/>
        </w:rPr>
        <w:t>采购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核心技术要求”及“成果要求</w:t>
      </w:r>
      <w:r>
        <w:rPr>
          <w:rFonts w:cs="Times New Roman"/>
          <w:sz w:val="32"/>
          <w:szCs w:val="32"/>
          <w:lang w:val="en-US" w:eastAsia="zh-CN"/>
          <w:highlight w:val="none"/>
        </w:rPr>
        <w:t xml:space="preserve"> 4.1初步成果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”，内容完整、数据准确、论证充分、可操作性强，通过评审；辅助成果需</w:t>
      </w:r>
      <w:r>
        <w:rPr>
          <w:rFonts w:cs="Times New Roman"/>
          <w:sz w:val="32"/>
          <w:szCs w:val="32"/>
          <w:lang w:val="en-US" w:eastAsia="zh-CN"/>
          <w:highlight w:val="none"/>
        </w:rPr>
        <w:t>符合实际市场逻辑；最终成果《</w:t>
      </w:r>
      <w:r>
        <w:rPr>
          <w:rFonts w:ascii="Times New Roman" w:eastAsia="方正仿宋_GBK" w:cs="Times New Roman" w:hAnsi="Times New Roman"/>
          <w:color w:val="000000"/>
          <w:szCs w:val="32"/>
          <w:shd w:val="clear" w:color="auto" w:fill="auto"/>
        </w:rPr>
        <w:t>机动车号牌管理信息系统软硬件设</w:t>
      </w:r>
      <w:r>
        <w:rPr>
          <w:color w:val="000000"/>
          <w:szCs w:val="32"/>
          <w:shd w:val="clear" w:color="auto" w:fill="auto"/>
        </w:rPr>
        <w:t>备</w:t>
      </w:r>
      <w:r>
        <w:rPr>
          <w:rFonts w:cs="Times New Roman"/>
          <w:sz w:val="32"/>
          <w:szCs w:val="32"/>
          <w:lang w:val="en-US" w:eastAsia="zh-CN"/>
          <w:highlight w:val="none"/>
        </w:rPr>
        <w:t>》需附和本需求方案中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“</w:t>
      </w:r>
      <w:r>
        <w:rPr>
          <w:rFonts w:cs="Times New Roman"/>
          <w:sz w:val="32"/>
          <w:szCs w:val="32"/>
          <w:lang w:val="en-US" w:eastAsia="zh-CN"/>
          <w:highlight w:val="none"/>
        </w:rPr>
        <w:t xml:space="preserve">成果要求 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 xml:space="preserve">4.3 </w:t>
      </w:r>
      <w:r>
        <w:rPr>
          <w:rFonts w:cs="Times New Roman"/>
          <w:sz w:val="32"/>
          <w:szCs w:val="32"/>
          <w:lang w:val="en-US" w:eastAsia="zh-CN"/>
          <w:highlight w:val="none"/>
        </w:rPr>
        <w:t>最终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成果交付要求”</w:t>
      </w:r>
      <w:r>
        <w:rPr>
          <w:rFonts w:cs="Times New Roman"/>
          <w:sz w:val="32"/>
          <w:szCs w:val="32"/>
          <w:lang w:val="en-US" w:eastAsia="zh-CN"/>
          <w:highlight w:val="none"/>
        </w:rPr>
        <w:t>。整体</w:t>
      </w:r>
      <w:r>
        <w:rPr>
          <w:rFonts w:cs="Times New Roman" w:hint="eastAsia"/>
          <w:sz w:val="32"/>
          <w:szCs w:val="32"/>
          <w:lang w:val="en-US" w:eastAsia="zh-CN"/>
          <w:highlight w:val="none"/>
        </w:rPr>
        <w:t>符合交付要求，保密相关成果需符合涉密管理规定。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5.3 验收结果处理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验收合格：若供应商交付的成果、提供的服务全部符合本需求方案及合同约定，验收小组出具验收合格报告，双方办理成果交接手续。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验收不合格：若验收过程中发现成果不符合要求、服务存在瑕疵，验收小组需向供应商出具验收整改意见，明确整改要求及整改时限；供应商需在规定时限内完成整改，整改后重新提交验收，直至验收合格；若多次整改仍不合格，公司有权终止合同，供应商需承担相应的违约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ascii="方正黑体_GBK" w:eastAsia="方正黑体_GBK" w:cs="方正黑体_GBK" w:hAnsi="方正黑体_GBK" w:hint="eastAsia"/>
          <w:b w:val="0"/>
          <w:bCs w:val="0"/>
          <w:sz w:val="32"/>
          <w:szCs w:val="32"/>
          <w:lang w:val="en-US" w:eastAsia="zh-CN"/>
          <w:highlight w:val="none"/>
        </w:rPr>
      </w:pPr>
      <w:r>
        <w:rPr>
          <w:rFonts w:ascii="方正黑体_GBK" w:eastAsia="方正黑体_GBK" w:cs="方正黑体_GBK" w:hAnsi="方正黑体_GBK" w:hint="eastAsia"/>
          <w:b w:val="0"/>
          <w:bCs w:val="0"/>
          <w:sz w:val="32"/>
          <w:szCs w:val="32"/>
          <w:lang w:val="en-US" w:eastAsia="zh-CN"/>
          <w:highlight w:val="none"/>
        </w:rPr>
        <w:t>六、其他要求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供应商需承诺所提供的规划设计服务及成果均为原创，无抄袭、侵权行为，若存在抄袭、侵权情况，需承担相应的法律责任，并赔偿公司因此遭受的损失。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供应商需承诺严格遵守国家保密法律法规及《涉密信息系统集成资质管理办法》相关要求，妥善保管本次规划设计过程中获取的公司涉密信息、商业秘密，不得向第三方泄露，若发生信息泄露，需承担相应的法律责任及赔偿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 w:firstLine="640"/>
        <w:textAlignment w:val="auto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合同签订后，供应商不得擅自更换专项服务团队核心成员，若确需更换，需提前书面通知公司，经公司同意后方可更换，且更换后的成员资质不得低于原成员资质。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ind w:firstLineChars="200" w:firstLine="640"/>
        <w:rPr>
          <w:rFonts w:cs="Times New Roman" w:hint="eastAsia"/>
          <w:sz w:val="32"/>
          <w:szCs w:val="32"/>
          <w:lang w:val="en-US" w:eastAsia="zh-CN"/>
          <w:highlight w:val="none"/>
        </w:rPr>
      </w:pPr>
      <w:r>
        <w:rPr>
          <w:rFonts w:cs="Times New Roman" w:hint="eastAsia"/>
          <w:sz w:val="32"/>
          <w:szCs w:val="32"/>
          <w:lang w:val="en-US" w:eastAsia="zh-CN"/>
          <w:highlight w:val="none"/>
        </w:rPr>
        <w:t>本次采购服务的所有成果知识产权归中虎公司所有，供应商不得擅自使用、转让本次规划设计成果，未经公司书面同意，不得向第三方提供相关成果。</w:t>
      </w:r>
    </w:p>
    <w:sectPr>
      <w:footerReference w:type="default" r:id="rId2"/>
      <w:pgSz w:w="11906" w:h="16838"/>
      <w:pgMar w:top="1440" w:right="1800" w:bottom="1440" w:left="1800" w:header="851" w:footer="992" w:gutter="0"/>
      <w:pgNumType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1"/>
    <w:family w:val="auto"/>
    <w:pitch w:val="variable"/>
    <w:sig w:usb0="E0002EFF" w:usb1="C000785B" w:usb2="00000009" w:usb3="00000000" w:csb0="400001FF" w:csb1="FFFF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12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09575" cy="23366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409575" cy="233660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1">
                      <w:txbxContent>
                        <w:p>
                          <w:pPr>
                            <w:pStyle w:val="15"/>
                            <w:tabs>
                              <w:tab w:val="center" w:pos="4153"/>
                              <w:tab w:val="right" w:pos="8306"/>
                            </w:tabs>
                          </w:pPr>
                          <w:r>
                            <w:t>—</w:t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type="#_x0000_t1" id="文本框 1" o:spid="_x0000_s2" filled="f" stroked="f" strokeweight="0.5pt" style="position:absolute;margin-left:0.0pt;margin-top:0.0pt;width:32.25pt;height:18.398438pt;z-index:12;mso-position-horizontal:center;mso-position-horizontal-relative:margin;mso-position-vertical:absolute;mso-wrap-style:none;">
              <v:stroke/>
              <v:textbox id="848" inset="0mm,0mm,0mm,0mm" o:insetmode="custom" style="layout-flow:horizontal;v-text-anchor:top;mso-fit-shape-to-text:t;">
                <w:txbxContent>
                  <w:p>
                    <w:pPr>
                      <w:pStyle w:val="15"/>
                      <w:tabs>
                        <w:tab w:val="center" w:pos="4153"/>
                        <w:tab w:val="right" w:pos="8306"/>
                      </w:tabs>
                    </w:pPr>
                    <w:r>
                      <w:t>—</w:t>
                    </w:r>
                    <w:r>
                      <w:rPr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1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0"/>
  <w:bordersDoNotSurroundHeader w:val="0"/>
  <w:bordersDoNotSurroundFooter w:val="0"/>
  <w:defaultTabStop w:val="420"/>
  <w:drawingGridHorizontalSpacing w:val="16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spacing w:before="0" w:beforeAutospacing="1" w:after="0" w:afterAutospacing="1"/>
      <w:jc w:val="left"/>
      <w:outlineLvl w:val="0"/>
    </w:pPr>
    <w:rPr>
      <w:rFonts w:ascii="宋体" w:eastAsia="宋体" w:cs="宋体" w:hAnsi="宋体"/>
      <w:b/>
      <w:bCs/>
      <w:kern w:val="44"/>
      <w:sz w:val="48"/>
      <w:szCs w:val="48"/>
      <w:lang w:val="en-US" w:eastAsia="zh-CN"/>
    </w:rPr>
  </w:style>
  <w:style w:type="character" w:customStyle="1" w:styleId="1Char">
    <w:name w:val="heading 1 Char"/>
    <w:basedOn w:val="10"/>
    <w:link w:val="1"/>
    <w:rPr>
      <w:rFonts w:ascii="宋体" w:eastAsia="宋体" w:cs="宋体" w:hAnsi="宋体"/>
      <w:b/>
      <w:bCs/>
      <w:kern w:val="44"/>
      <w:sz w:val="48"/>
      <w:szCs w:val="48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spacing w:before="0" w:beforeAutospacing="1" w:after="0" w:afterAutospacing="1"/>
      <w:jc w:val="left"/>
      <w:outlineLvl w:val="1"/>
    </w:pPr>
    <w:rPr>
      <w:rFonts w:ascii="宋体" w:eastAsia="宋体" w:cs="宋体" w:hAnsi="宋体"/>
      <w:b/>
      <w:bCs/>
      <w:kern w:val="0"/>
      <w:sz w:val="36"/>
      <w:szCs w:val="36"/>
      <w:lang w:val="en-US" w:eastAsia="zh-CN"/>
    </w:rPr>
  </w:style>
  <w:style w:type="character" w:customStyle="1" w:styleId="2Char">
    <w:name w:val="heading 2 Char"/>
    <w:basedOn w:val="10"/>
    <w:link w:val="2"/>
    <w:rPr>
      <w:rFonts w:ascii="宋体" w:eastAsia="宋体" w:cs="宋体" w:hAnsi="宋体"/>
      <w:b/>
      <w:bCs/>
      <w:kern w:val="0"/>
      <w:sz w:val="36"/>
      <w:szCs w:val="36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spacing w:before="0" w:beforeAutospacing="1" w:after="0" w:afterAutospacing="1"/>
      <w:jc w:val="left"/>
      <w:outlineLvl w:val="2"/>
    </w:pPr>
    <w:rPr>
      <w:rFonts w:ascii="宋体" w:eastAsia="宋体" w:cs="宋体" w:hAnsi="宋体"/>
      <w:b/>
      <w:bCs/>
      <w:kern w:val="0"/>
      <w:sz w:val="27"/>
      <w:szCs w:val="27"/>
      <w:lang w:val="en-US" w:eastAsia="zh-CN"/>
    </w:rPr>
  </w:style>
  <w:style w:type="character" w:customStyle="1" w:styleId="3Char">
    <w:name w:val="heading 3 Char"/>
    <w:basedOn w:val="10"/>
    <w:link w:val="3"/>
    <w:rPr>
      <w:rFonts w:ascii="宋体" w:eastAsia="宋体" w:cs="宋体" w:hAnsi="宋体"/>
      <w:b/>
      <w:bCs/>
      <w:kern w:val="0"/>
      <w:sz w:val="27"/>
      <w:szCs w:val="27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qFormat/>
    <w:basedOn w:val="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7">
    <w:name w:val="Strong"/>
    <w:qFormat/>
    <w:basedOn w:val="1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customXml" Target="../customXml/item1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1"/>
        </a:gradFill>
        <a:gradFill rotWithShape="1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1"/>
        </a:gradFill>
      </a:fillStyleLst>
      <a:lnStyleLst>
        <a:ln w="1270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2700" cmpd="sng" cap="flat">
          <a:gradFill rotWithShape="1"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/>
        </a:ln>
      </a:lnStyleLst>
      <a:effectStyleLst>
        <a:effectStyle>
          <a:effectLst>
            <a:outerShdw sx="100000" sy="100000" algn="ctr" rotWithShape="0" blurRad="101600" dist="50800" dir="540000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18CE7933-F873-4B99-A277-EAC5D534A50D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5195</TotalTime>
  <Application>WPS_Yozo_Office9.0.6292.101ZH.CQ18</Application>
  <Pages>10</Pages>
  <Words>0</Words>
  <Characters>3096</Characters>
  <Lines>0</Lines>
  <Paragraphs>81</Paragraphs>
  <CharactersWithSpaces>4128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叶</dc:creator>
  <cp:lastModifiedBy>uos</cp:lastModifiedBy>
  <cp:revision>12</cp:revision>
  <dcterms:created xsi:type="dcterms:W3CDTF">2025-12-16T09:18:00Z</dcterms:created>
  <dcterms:modified xsi:type="dcterms:W3CDTF">2026-06-24T03:01:52Z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2052-12.1.0.25225</vt:lpwstr>
  </property>
  <property fmtid="{D5CDD505-2E9C-101B-9397-08002B2CF9AE}" pid="3" name="ICV">
    <vt:lpwstr>916383D010104124AAB00BC7A9B26804_13</vt:lpwstr>
  </property>
  <property fmtid="{D5CDD505-2E9C-101B-9397-08002B2CF9AE}" pid="4" name="KSOTemplateDocerSaveRecord">
    <vt:lpwstr>eyJoZGlkIjoiN2VkNzA1Y2QzZmJiYzYxZGQ2YzlhZGJiMWUxMzdiMDIiLCJ1c2VySWQiOiIxMjA4MjUyNDEzIn0=</vt:lpwstr>
  </property>
</Properties>
</file>