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D5519">
      <w:pPr>
        <w:autoSpaceDE w:val="0"/>
        <w:autoSpaceDN w:val="0"/>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项目名称：</w:t>
      </w:r>
      <w:r>
        <w:rPr>
          <w:rStyle w:val="26"/>
          <w:rFonts w:hint="eastAsia" w:ascii="宋体" w:hAnsi="宋体" w:cs="宋体"/>
          <w:sz w:val="24"/>
          <w:szCs w:val="24"/>
        </w:rPr>
        <w:t>重庆市政府采购中心财税咨询服务采购</w:t>
      </w:r>
    </w:p>
    <w:p w14:paraId="6F568442">
      <w:pPr>
        <w:autoSpaceDE w:val="0"/>
        <w:autoSpaceDN w:val="0"/>
        <w:adjustRightInd w:val="0"/>
        <w:snapToGrid w:val="0"/>
        <w:spacing w:line="360" w:lineRule="auto"/>
        <w:ind w:firstLine="482" w:firstLineChars="200"/>
        <w:rPr>
          <w:rFonts w:ascii="宋体"/>
          <w:b/>
          <w:bCs/>
          <w:sz w:val="24"/>
          <w:szCs w:val="24"/>
        </w:rPr>
      </w:pPr>
    </w:p>
    <w:p w14:paraId="651CD28F">
      <w:pPr>
        <w:widowControl/>
        <w:spacing w:line="360" w:lineRule="auto"/>
        <w:ind w:firstLine="675" w:firstLineChars="224"/>
        <w:jc w:val="center"/>
        <w:rPr>
          <w:rFonts w:ascii="宋体"/>
          <w:b/>
          <w:bCs/>
          <w:sz w:val="30"/>
          <w:szCs w:val="30"/>
        </w:rPr>
      </w:pPr>
    </w:p>
    <w:p w14:paraId="1DC69816">
      <w:pPr>
        <w:pStyle w:val="8"/>
        <w:rPr>
          <w:rFonts w:hint="eastAsia"/>
          <w:b/>
          <w:bCs/>
          <w:sz w:val="30"/>
          <w:szCs w:val="30"/>
        </w:rPr>
      </w:pPr>
    </w:p>
    <w:p w14:paraId="66C53930"/>
    <w:p w14:paraId="372FE54B">
      <w:pPr>
        <w:widowControl/>
        <w:spacing w:line="360" w:lineRule="auto"/>
        <w:ind w:firstLine="675" w:firstLineChars="224"/>
        <w:jc w:val="center"/>
        <w:rPr>
          <w:rFonts w:ascii="宋体"/>
          <w:b/>
          <w:bCs/>
          <w:sz w:val="30"/>
          <w:szCs w:val="30"/>
        </w:rPr>
      </w:pPr>
    </w:p>
    <w:p w14:paraId="437C3594">
      <w:pPr>
        <w:widowControl/>
        <w:spacing w:line="360" w:lineRule="auto"/>
        <w:ind w:firstLine="675" w:firstLineChars="224"/>
        <w:jc w:val="center"/>
        <w:rPr>
          <w:rFonts w:ascii="宋体"/>
          <w:b/>
          <w:bCs/>
          <w:sz w:val="30"/>
          <w:szCs w:val="30"/>
        </w:rPr>
      </w:pPr>
    </w:p>
    <w:p w14:paraId="0F20459C">
      <w:pPr>
        <w:widowControl/>
        <w:spacing w:line="360" w:lineRule="auto"/>
        <w:ind w:firstLine="675" w:firstLineChars="224"/>
        <w:jc w:val="center"/>
        <w:rPr>
          <w:rFonts w:ascii="宋体"/>
          <w:b/>
          <w:bCs/>
          <w:sz w:val="30"/>
          <w:szCs w:val="30"/>
        </w:rPr>
      </w:pPr>
    </w:p>
    <w:p w14:paraId="641B3927">
      <w:pPr>
        <w:widowControl/>
        <w:spacing w:line="360" w:lineRule="auto"/>
        <w:ind w:firstLine="675" w:firstLineChars="224"/>
        <w:jc w:val="center"/>
        <w:rPr>
          <w:rFonts w:ascii="宋体"/>
          <w:b/>
          <w:bCs/>
          <w:sz w:val="30"/>
          <w:szCs w:val="30"/>
        </w:rPr>
      </w:pPr>
    </w:p>
    <w:p w14:paraId="036C71F3">
      <w:pPr>
        <w:widowControl/>
        <w:spacing w:line="360" w:lineRule="auto"/>
        <w:jc w:val="center"/>
        <w:rPr>
          <w:rFonts w:ascii="宋体"/>
          <w:kern w:val="0"/>
          <w:sz w:val="44"/>
          <w:szCs w:val="44"/>
        </w:rPr>
      </w:pPr>
      <w:r>
        <w:rPr>
          <w:rFonts w:hint="eastAsia" w:ascii="宋体" w:hAnsi="宋体" w:cs="宋体"/>
          <w:b/>
          <w:bCs/>
          <w:sz w:val="44"/>
          <w:szCs w:val="44"/>
        </w:rPr>
        <w:t>询比文件</w:t>
      </w:r>
    </w:p>
    <w:p w14:paraId="725C3684">
      <w:pPr>
        <w:spacing w:line="360" w:lineRule="auto"/>
        <w:ind w:firstLine="672" w:firstLineChars="224"/>
        <w:rPr>
          <w:rFonts w:ascii="宋体"/>
          <w:sz w:val="30"/>
          <w:szCs w:val="30"/>
        </w:rPr>
      </w:pPr>
    </w:p>
    <w:p w14:paraId="56A44B7B">
      <w:pPr>
        <w:spacing w:line="360" w:lineRule="auto"/>
        <w:ind w:firstLine="672" w:firstLineChars="224"/>
        <w:jc w:val="center"/>
        <w:rPr>
          <w:rFonts w:ascii="宋体"/>
          <w:sz w:val="30"/>
          <w:szCs w:val="30"/>
        </w:rPr>
      </w:pPr>
      <w:r>
        <w:rPr>
          <w:rFonts w:hint="eastAsia" w:ascii="宋体"/>
          <w:sz w:val="30"/>
          <w:szCs w:val="30"/>
        </w:rPr>
        <w:drawing>
          <wp:inline distT="0" distB="0" distL="114300" distR="114300">
            <wp:extent cx="1604645" cy="972820"/>
            <wp:effectExtent l="0" t="0" r="14605" b="17780"/>
            <wp:docPr id="5" name="图片 5" descr="重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重咨LOGO"/>
                    <pic:cNvPicPr>
                      <a:picLocks noChangeAspect="1"/>
                    </pic:cNvPicPr>
                  </pic:nvPicPr>
                  <pic:blipFill>
                    <a:blip r:embed="rId10"/>
                    <a:stretch>
                      <a:fillRect/>
                    </a:stretch>
                  </pic:blipFill>
                  <pic:spPr>
                    <a:xfrm>
                      <a:off x="0" y="0"/>
                      <a:ext cx="1604645" cy="972820"/>
                    </a:xfrm>
                    <a:prstGeom prst="rect">
                      <a:avLst/>
                    </a:prstGeom>
                  </pic:spPr>
                </pic:pic>
              </a:graphicData>
            </a:graphic>
          </wp:inline>
        </w:drawing>
      </w:r>
    </w:p>
    <w:p w14:paraId="77F08C51">
      <w:pPr>
        <w:spacing w:line="360" w:lineRule="auto"/>
        <w:ind w:firstLine="672" w:firstLineChars="224"/>
        <w:rPr>
          <w:rFonts w:ascii="宋体"/>
          <w:sz w:val="30"/>
          <w:szCs w:val="30"/>
        </w:rPr>
      </w:pPr>
    </w:p>
    <w:p w14:paraId="6243E913">
      <w:pPr>
        <w:spacing w:line="360" w:lineRule="auto"/>
        <w:rPr>
          <w:rFonts w:ascii="宋体"/>
          <w:sz w:val="30"/>
          <w:szCs w:val="30"/>
        </w:rPr>
      </w:pPr>
    </w:p>
    <w:p w14:paraId="62515C3C">
      <w:pPr>
        <w:spacing w:line="360" w:lineRule="auto"/>
        <w:rPr>
          <w:rFonts w:ascii="宋体"/>
          <w:sz w:val="30"/>
          <w:szCs w:val="30"/>
        </w:rPr>
      </w:pPr>
    </w:p>
    <w:p w14:paraId="664C5DEF">
      <w:pPr>
        <w:spacing w:line="360" w:lineRule="auto"/>
        <w:ind w:left="-359" w:leftChars="-171"/>
        <w:rPr>
          <w:rFonts w:ascii="宋体"/>
          <w:b/>
          <w:bCs/>
          <w:sz w:val="30"/>
          <w:szCs w:val="30"/>
        </w:rPr>
      </w:pPr>
    </w:p>
    <w:p w14:paraId="1ABC887F">
      <w:pPr>
        <w:spacing w:line="360" w:lineRule="auto"/>
        <w:ind w:left="-359" w:leftChars="-171"/>
        <w:rPr>
          <w:rFonts w:ascii="宋体"/>
          <w:b/>
          <w:bCs/>
          <w:sz w:val="30"/>
          <w:szCs w:val="30"/>
        </w:rPr>
      </w:pPr>
    </w:p>
    <w:p w14:paraId="4DCD2E7A">
      <w:pPr>
        <w:spacing w:line="360" w:lineRule="auto"/>
        <w:ind w:left="-359" w:leftChars="-171" w:firstLine="1678" w:firstLineChars="597"/>
        <w:rPr>
          <w:rFonts w:hint="eastAsia" w:ascii="宋体" w:hAnsi="宋体" w:cs="宋体"/>
          <w:b/>
          <w:bCs/>
          <w:sz w:val="28"/>
          <w:szCs w:val="28"/>
          <w:u w:val="single"/>
        </w:rPr>
      </w:pPr>
      <w:r>
        <w:rPr>
          <w:rFonts w:hint="eastAsia" w:ascii="宋体" w:hAnsi="宋体" w:cs="宋体"/>
          <w:b/>
          <w:bCs/>
          <w:sz w:val="28"/>
          <w:szCs w:val="28"/>
        </w:rPr>
        <w:t>项 目 业 主：</w:t>
      </w:r>
      <w:r>
        <w:rPr>
          <w:rFonts w:hint="eastAsia" w:ascii="宋体" w:hAnsi="宋体" w:cs="宋体"/>
          <w:b/>
          <w:bCs/>
          <w:sz w:val="28"/>
          <w:szCs w:val="28"/>
          <w:u w:val="single"/>
        </w:rPr>
        <w:t>重庆市政府采购中心</w:t>
      </w:r>
    </w:p>
    <w:p w14:paraId="537CDCF4">
      <w:pPr>
        <w:spacing w:line="360" w:lineRule="auto"/>
        <w:ind w:left="-359" w:leftChars="-171" w:firstLine="1678" w:firstLineChars="597"/>
        <w:rPr>
          <w:rFonts w:ascii="宋体"/>
          <w:b/>
          <w:bCs/>
          <w:sz w:val="28"/>
          <w:szCs w:val="28"/>
          <w:u w:val="single"/>
        </w:rPr>
      </w:pPr>
      <w:r>
        <w:rPr>
          <w:rFonts w:hint="eastAsia" w:ascii="宋体" w:hAnsi="宋体" w:cs="宋体"/>
          <w:b/>
          <w:bCs/>
          <w:sz w:val="28"/>
          <w:szCs w:val="28"/>
        </w:rPr>
        <w:t>代 理 机 构：</w:t>
      </w:r>
      <w:r>
        <w:rPr>
          <w:rFonts w:hint="eastAsia" w:ascii="宋体" w:hAnsi="宋体" w:cs="宋体"/>
          <w:b/>
          <w:bCs/>
          <w:sz w:val="28"/>
          <w:szCs w:val="28"/>
          <w:u w:val="single"/>
        </w:rPr>
        <w:t>重庆招标采购（集团）有限责任公司</w:t>
      </w:r>
    </w:p>
    <w:p w14:paraId="78356649">
      <w:pPr>
        <w:spacing w:line="360" w:lineRule="auto"/>
        <w:ind w:firstLine="716" w:firstLineChars="224"/>
        <w:jc w:val="center"/>
        <w:rPr>
          <w:rFonts w:ascii="宋体"/>
          <w:sz w:val="32"/>
          <w:szCs w:val="32"/>
        </w:rPr>
      </w:pPr>
    </w:p>
    <w:p w14:paraId="33A20312">
      <w:pPr>
        <w:spacing w:line="360" w:lineRule="auto"/>
        <w:jc w:val="center"/>
        <w:rPr>
          <w:rFonts w:hint="eastAsia" w:ascii="宋体" w:hAnsi="宋体" w:cs="宋体"/>
          <w:b/>
          <w:bCs/>
          <w:sz w:val="32"/>
          <w:szCs w:val="32"/>
        </w:rPr>
      </w:pPr>
      <w:r>
        <w:rPr>
          <w:rFonts w:hint="eastAsia" w:ascii="宋体" w:hAnsi="宋体" w:cs="宋体"/>
          <w:b/>
          <w:bCs/>
          <w:sz w:val="32"/>
          <w:szCs w:val="32"/>
        </w:rPr>
        <w:t>二</w:t>
      </w:r>
      <w:r>
        <w:rPr>
          <w:rFonts w:ascii="宋体" w:cs="宋体"/>
          <w:b/>
          <w:bCs/>
          <w:sz w:val="32"/>
          <w:szCs w:val="32"/>
        </w:rPr>
        <w:t>0</w:t>
      </w:r>
      <w:r>
        <w:rPr>
          <w:rFonts w:hint="eastAsia" w:ascii="宋体" w:hAnsi="宋体" w:cs="宋体"/>
          <w:b/>
          <w:bCs/>
          <w:sz w:val="32"/>
          <w:szCs w:val="32"/>
        </w:rPr>
        <w:t>二六年六月</w:t>
      </w:r>
      <w:r>
        <w:rPr>
          <w:rFonts w:ascii="宋体" w:hAnsi="宋体" w:cs="宋体"/>
          <w:b/>
          <w:bCs/>
          <w:sz w:val="32"/>
          <w:szCs w:val="32"/>
        </w:rPr>
        <w:br w:type="page"/>
      </w:r>
    </w:p>
    <w:p w14:paraId="695C8973">
      <w:pPr>
        <w:spacing w:line="360" w:lineRule="auto"/>
        <w:outlineLvl w:val="0"/>
        <w:rPr>
          <w:rFonts w:ascii="宋体"/>
          <w:b/>
          <w:bCs/>
          <w:sz w:val="28"/>
          <w:szCs w:val="28"/>
        </w:rPr>
      </w:pPr>
    </w:p>
    <w:p w14:paraId="27BE37AE">
      <w:pPr>
        <w:tabs>
          <w:tab w:val="right" w:leader="dot" w:pos="9610"/>
        </w:tabs>
        <w:spacing w:line="360" w:lineRule="auto"/>
        <w:jc w:val="center"/>
      </w:pPr>
      <w:r>
        <w:rPr>
          <w:rFonts w:hint="eastAsia" w:ascii="方正仿宋_GBK" w:hAnsi="方正仿宋_GBK" w:eastAsia="方正仿宋_GBK" w:cs="方正仿宋_GBK"/>
          <w:b/>
          <w:bCs/>
          <w:sz w:val="44"/>
          <w:szCs w:val="44"/>
        </w:rPr>
        <w:t>目      录</w:t>
      </w:r>
      <w:r>
        <w:fldChar w:fldCharType="begin"/>
      </w:r>
      <w:r>
        <w:instrText xml:space="preserve">TOC \o "1-2" \h \u </w:instrText>
      </w:r>
      <w:r>
        <w:fldChar w:fldCharType="separate"/>
      </w:r>
    </w:p>
    <w:p w14:paraId="2CAEB068">
      <w:pPr>
        <w:pStyle w:val="14"/>
        <w:tabs>
          <w:tab w:val="right" w:leader="dot" w:pos="9610"/>
        </w:tabs>
        <w:rPr>
          <w:rFonts w:hint="eastAsia" w:ascii="方正仿宋_GBK" w:hAnsi="方正仿宋_GBK" w:eastAsia="方正仿宋_GBK" w:cs="方正仿宋_GBK"/>
        </w:rPr>
      </w:pPr>
      <w:r>
        <w:fldChar w:fldCharType="begin"/>
      </w:r>
      <w:r>
        <w:instrText xml:space="preserve"> HYPERLINK \l "_Toc30924" </w:instrText>
      </w:r>
      <w:r>
        <w:fldChar w:fldCharType="separate"/>
      </w:r>
      <w:r>
        <w:rPr>
          <w:rFonts w:hint="eastAsia" w:ascii="方正仿宋_GBK" w:hAnsi="方正仿宋_GBK" w:eastAsia="方正仿宋_GBK" w:cs="方正仿宋_GBK"/>
          <w:bCs/>
          <w:szCs w:val="28"/>
        </w:rPr>
        <w:t>第一部分 询比公告</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_Toc30924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5FC7BCB5">
      <w:pPr>
        <w:pStyle w:val="14"/>
        <w:tabs>
          <w:tab w:val="right" w:leader="dot" w:pos="9610"/>
        </w:tabs>
        <w:rPr>
          <w:rFonts w:hint="eastAsia" w:ascii="方正仿宋_GBK" w:hAnsi="方正仿宋_GBK" w:eastAsia="方正仿宋_GBK" w:cs="方正仿宋_GBK"/>
        </w:rPr>
      </w:pPr>
      <w:r>
        <w:fldChar w:fldCharType="begin"/>
      </w:r>
      <w:r>
        <w:instrText xml:space="preserve"> HYPERLINK \l "_Toc3650" </w:instrText>
      </w:r>
      <w:r>
        <w:fldChar w:fldCharType="separate"/>
      </w:r>
      <w:r>
        <w:rPr>
          <w:rFonts w:hint="eastAsia" w:ascii="方正仿宋_GBK" w:hAnsi="方正仿宋_GBK" w:eastAsia="方正仿宋_GBK" w:cs="方正仿宋_GBK"/>
          <w:szCs w:val="28"/>
        </w:rPr>
        <w:t>第二部分 询比须知</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_Toc3650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3</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3BA0F6DB">
      <w:pPr>
        <w:pStyle w:val="14"/>
        <w:tabs>
          <w:tab w:val="right" w:leader="dot" w:pos="9610"/>
        </w:tabs>
        <w:rPr>
          <w:rFonts w:hint="eastAsia" w:ascii="方正仿宋_GBK" w:hAnsi="方正仿宋_GBK" w:eastAsia="方正仿宋_GBK" w:cs="方正仿宋_GBK"/>
        </w:rPr>
      </w:pPr>
      <w:r>
        <w:fldChar w:fldCharType="begin"/>
      </w:r>
      <w:r>
        <w:instrText xml:space="preserve"> HYPERLINK \l "_Toc15388" </w:instrText>
      </w:r>
      <w:r>
        <w:fldChar w:fldCharType="separate"/>
      </w:r>
      <w:r>
        <w:rPr>
          <w:rFonts w:hint="eastAsia" w:ascii="方正仿宋_GBK" w:hAnsi="方正仿宋_GBK" w:eastAsia="方正仿宋_GBK" w:cs="方正仿宋_GBK"/>
          <w:bCs/>
          <w:szCs w:val="28"/>
        </w:rPr>
        <w:t>第三部分 响应文件格式</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_Toc15388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9</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301DEC80">
      <w:pPr>
        <w:pStyle w:val="14"/>
        <w:tabs>
          <w:tab w:val="right" w:leader="dot" w:pos="9610"/>
        </w:tabs>
        <w:rPr>
          <w:rFonts w:hint="eastAsia" w:ascii="方正仿宋_GBK" w:hAnsi="方正仿宋_GBK" w:eastAsia="方正仿宋_GBK" w:cs="方正仿宋_GBK"/>
        </w:rPr>
      </w:pPr>
      <w:r>
        <w:fldChar w:fldCharType="begin"/>
      </w:r>
      <w:r>
        <w:instrText xml:space="preserve"> HYPERLINK \l "_Toc19146" </w:instrText>
      </w:r>
      <w:r>
        <w:fldChar w:fldCharType="separate"/>
      </w:r>
      <w:r>
        <w:rPr>
          <w:rFonts w:hint="eastAsia" w:ascii="方正仿宋_GBK" w:hAnsi="方正仿宋_GBK" w:eastAsia="方正仿宋_GBK" w:cs="方正仿宋_GBK"/>
          <w:bCs/>
          <w:szCs w:val="28"/>
        </w:rPr>
        <w:t>第四部分 合同条款</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_Toc19146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17</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0DF71748">
      <w:pPr>
        <w:pStyle w:val="51"/>
        <w:tabs>
          <w:tab w:val="right" w:leader="dot" w:pos="9610"/>
        </w:tabs>
        <w:spacing w:line="360" w:lineRule="auto"/>
        <w:jc w:val="center"/>
      </w:pPr>
      <w:r>
        <w:fldChar w:fldCharType="end"/>
      </w:r>
    </w:p>
    <w:p w14:paraId="5B44CBF8">
      <w:pPr>
        <w:spacing w:line="360" w:lineRule="auto"/>
        <w:jc w:val="center"/>
        <w:outlineLvl w:val="0"/>
        <w:rPr>
          <w:rFonts w:ascii="宋体"/>
          <w:b/>
          <w:bCs/>
          <w:sz w:val="28"/>
          <w:szCs w:val="28"/>
        </w:rPr>
      </w:pPr>
    </w:p>
    <w:p w14:paraId="7951C660">
      <w:pPr>
        <w:spacing w:line="360" w:lineRule="auto"/>
        <w:jc w:val="center"/>
        <w:outlineLvl w:val="0"/>
        <w:rPr>
          <w:rFonts w:ascii="宋体"/>
          <w:b/>
          <w:bCs/>
          <w:sz w:val="28"/>
          <w:szCs w:val="28"/>
        </w:rPr>
      </w:pPr>
    </w:p>
    <w:p w14:paraId="5134568C">
      <w:pPr>
        <w:spacing w:line="360" w:lineRule="auto"/>
        <w:jc w:val="center"/>
        <w:outlineLvl w:val="0"/>
        <w:rPr>
          <w:rFonts w:ascii="宋体"/>
          <w:b/>
          <w:bCs/>
          <w:sz w:val="28"/>
          <w:szCs w:val="28"/>
        </w:rPr>
      </w:pPr>
    </w:p>
    <w:p w14:paraId="5FE9147F">
      <w:pPr>
        <w:spacing w:line="360" w:lineRule="auto"/>
        <w:jc w:val="center"/>
        <w:outlineLvl w:val="0"/>
        <w:rPr>
          <w:rFonts w:ascii="宋体"/>
          <w:b/>
          <w:bCs/>
          <w:sz w:val="28"/>
          <w:szCs w:val="28"/>
        </w:rPr>
      </w:pPr>
    </w:p>
    <w:p w14:paraId="0BC42B99">
      <w:pPr>
        <w:spacing w:line="360" w:lineRule="auto"/>
        <w:jc w:val="center"/>
        <w:outlineLvl w:val="0"/>
        <w:rPr>
          <w:rFonts w:ascii="宋体"/>
          <w:b/>
          <w:bCs/>
          <w:sz w:val="28"/>
          <w:szCs w:val="28"/>
        </w:rPr>
      </w:pPr>
    </w:p>
    <w:p w14:paraId="7FC94FCA">
      <w:pPr>
        <w:spacing w:line="360" w:lineRule="auto"/>
        <w:jc w:val="center"/>
        <w:outlineLvl w:val="0"/>
        <w:rPr>
          <w:rFonts w:ascii="宋体"/>
          <w:b/>
          <w:bCs/>
          <w:sz w:val="28"/>
          <w:szCs w:val="28"/>
        </w:rPr>
      </w:pPr>
    </w:p>
    <w:p w14:paraId="6906F5F6">
      <w:pPr>
        <w:spacing w:line="360" w:lineRule="auto"/>
        <w:jc w:val="center"/>
        <w:outlineLvl w:val="0"/>
        <w:rPr>
          <w:rFonts w:ascii="宋体"/>
          <w:b/>
          <w:bCs/>
          <w:sz w:val="28"/>
          <w:szCs w:val="28"/>
        </w:rPr>
      </w:pPr>
    </w:p>
    <w:p w14:paraId="4B16C8B1">
      <w:pPr>
        <w:spacing w:line="360" w:lineRule="auto"/>
        <w:jc w:val="center"/>
        <w:outlineLvl w:val="0"/>
        <w:rPr>
          <w:rFonts w:ascii="宋体"/>
          <w:b/>
          <w:bCs/>
          <w:sz w:val="28"/>
          <w:szCs w:val="28"/>
        </w:rPr>
      </w:pPr>
    </w:p>
    <w:p w14:paraId="441DFE79">
      <w:pPr>
        <w:spacing w:line="360" w:lineRule="auto"/>
        <w:jc w:val="center"/>
        <w:outlineLvl w:val="0"/>
        <w:rPr>
          <w:rFonts w:ascii="宋体"/>
          <w:b/>
          <w:bCs/>
          <w:sz w:val="28"/>
          <w:szCs w:val="28"/>
        </w:rPr>
      </w:pPr>
    </w:p>
    <w:p w14:paraId="4DB84F6F">
      <w:pPr>
        <w:spacing w:line="360" w:lineRule="auto"/>
        <w:jc w:val="center"/>
        <w:outlineLvl w:val="0"/>
        <w:rPr>
          <w:rFonts w:ascii="宋体"/>
          <w:b/>
          <w:bCs/>
          <w:sz w:val="28"/>
          <w:szCs w:val="28"/>
        </w:rPr>
      </w:pPr>
    </w:p>
    <w:p w14:paraId="32CC293F">
      <w:pPr>
        <w:spacing w:line="360" w:lineRule="auto"/>
        <w:jc w:val="center"/>
        <w:outlineLvl w:val="0"/>
        <w:rPr>
          <w:rFonts w:ascii="宋体"/>
          <w:b/>
          <w:bCs/>
          <w:sz w:val="28"/>
          <w:szCs w:val="28"/>
        </w:rPr>
      </w:pPr>
    </w:p>
    <w:p w14:paraId="5D571A25">
      <w:pPr>
        <w:spacing w:line="360" w:lineRule="auto"/>
        <w:jc w:val="center"/>
        <w:outlineLvl w:val="0"/>
        <w:rPr>
          <w:rFonts w:ascii="宋体"/>
          <w:b/>
          <w:bCs/>
          <w:sz w:val="28"/>
          <w:szCs w:val="28"/>
        </w:rPr>
      </w:pPr>
    </w:p>
    <w:p w14:paraId="7192E97C">
      <w:pPr>
        <w:spacing w:line="360" w:lineRule="auto"/>
        <w:jc w:val="center"/>
        <w:outlineLvl w:val="0"/>
        <w:rPr>
          <w:rFonts w:ascii="宋体"/>
          <w:b/>
          <w:bCs/>
          <w:sz w:val="28"/>
          <w:szCs w:val="28"/>
        </w:rPr>
      </w:pPr>
    </w:p>
    <w:p w14:paraId="2C143767">
      <w:pPr>
        <w:spacing w:line="360" w:lineRule="auto"/>
        <w:jc w:val="center"/>
        <w:outlineLvl w:val="0"/>
        <w:rPr>
          <w:rFonts w:ascii="宋体"/>
          <w:b/>
          <w:bCs/>
          <w:sz w:val="28"/>
          <w:szCs w:val="28"/>
        </w:rPr>
      </w:pPr>
    </w:p>
    <w:p w14:paraId="1E9E3FEA">
      <w:pPr>
        <w:spacing w:line="360" w:lineRule="auto"/>
        <w:jc w:val="center"/>
        <w:outlineLvl w:val="0"/>
        <w:rPr>
          <w:rFonts w:ascii="宋体"/>
          <w:b/>
          <w:bCs/>
          <w:sz w:val="28"/>
          <w:szCs w:val="28"/>
        </w:rPr>
      </w:pPr>
    </w:p>
    <w:p w14:paraId="3806B126">
      <w:pPr>
        <w:spacing w:line="360" w:lineRule="auto"/>
        <w:jc w:val="center"/>
        <w:outlineLvl w:val="0"/>
        <w:rPr>
          <w:rFonts w:ascii="宋体"/>
          <w:b/>
          <w:bCs/>
          <w:sz w:val="28"/>
          <w:szCs w:val="28"/>
        </w:rPr>
      </w:pPr>
    </w:p>
    <w:p w14:paraId="73C6E108">
      <w:pPr>
        <w:spacing w:line="360" w:lineRule="auto"/>
        <w:jc w:val="center"/>
        <w:outlineLvl w:val="0"/>
        <w:rPr>
          <w:rFonts w:ascii="宋体"/>
          <w:b/>
          <w:bCs/>
          <w:sz w:val="28"/>
          <w:szCs w:val="28"/>
        </w:rPr>
      </w:pPr>
    </w:p>
    <w:p w14:paraId="2FB3F521">
      <w:pPr>
        <w:spacing w:line="360" w:lineRule="auto"/>
        <w:jc w:val="center"/>
        <w:outlineLvl w:val="0"/>
        <w:rPr>
          <w:rFonts w:ascii="宋体"/>
          <w:b/>
          <w:bCs/>
          <w:sz w:val="28"/>
          <w:szCs w:val="28"/>
        </w:rPr>
        <w:sectPr>
          <w:footerReference r:id="rId4" w:type="first"/>
          <w:footerReference r:id="rId3" w:type="default"/>
          <w:pgSz w:w="11906" w:h="16838"/>
          <w:pgMar w:top="1276" w:right="1162" w:bottom="1135" w:left="1134" w:header="851" w:footer="992" w:gutter="0"/>
          <w:pgNumType w:start="1"/>
          <w:cols w:space="720" w:num="1"/>
          <w:docGrid w:type="lines" w:linePitch="312" w:charSpace="0"/>
        </w:sectPr>
      </w:pPr>
    </w:p>
    <w:p w14:paraId="25CFCB55">
      <w:pPr>
        <w:spacing w:line="360" w:lineRule="auto"/>
        <w:outlineLvl w:val="0"/>
        <w:rPr>
          <w:rFonts w:ascii="宋体"/>
          <w:b/>
          <w:bCs/>
          <w:sz w:val="28"/>
          <w:szCs w:val="28"/>
        </w:rPr>
      </w:pPr>
    </w:p>
    <w:p w14:paraId="2FB83546">
      <w:pPr>
        <w:spacing w:line="360" w:lineRule="auto"/>
        <w:jc w:val="center"/>
        <w:outlineLvl w:val="0"/>
        <w:rPr>
          <w:rFonts w:hint="eastAsia" w:ascii="宋体" w:hAnsi="宋体" w:cs="宋体"/>
          <w:b/>
          <w:bCs/>
          <w:sz w:val="28"/>
          <w:szCs w:val="28"/>
        </w:rPr>
      </w:pPr>
      <w:bookmarkStart w:id="0" w:name="_Toc30924"/>
      <w:r>
        <w:rPr>
          <w:rFonts w:hint="eastAsia" w:ascii="宋体" w:hAnsi="宋体" w:cs="宋体"/>
          <w:b/>
          <w:bCs/>
          <w:sz w:val="28"/>
          <w:szCs w:val="28"/>
        </w:rPr>
        <w:t>第一部分 询比公告</w:t>
      </w:r>
      <w:bookmarkEnd w:id="0"/>
    </w:p>
    <w:p w14:paraId="6C0797AF">
      <w:pPr>
        <w:spacing w:line="360" w:lineRule="auto"/>
        <w:jc w:val="center"/>
        <w:rPr>
          <w:rFonts w:ascii="宋体"/>
          <w:b/>
          <w:bCs/>
          <w:sz w:val="28"/>
          <w:szCs w:val="28"/>
        </w:rPr>
      </w:pPr>
      <w:r>
        <w:rPr>
          <w:rFonts w:hint="eastAsia" w:ascii="宋体" w:hAnsi="宋体" w:cs="宋体"/>
          <w:b/>
          <w:bCs/>
          <w:spacing w:val="-14"/>
          <w:sz w:val="28"/>
          <w:szCs w:val="28"/>
        </w:rPr>
        <w:t>重庆市政府采购中心财税咨询服务采购</w:t>
      </w:r>
    </w:p>
    <w:p w14:paraId="7A530065">
      <w:pPr>
        <w:spacing w:line="400" w:lineRule="exact"/>
        <w:ind w:firstLine="420" w:firstLineChars="200"/>
        <w:rPr>
          <w:rFonts w:ascii="宋体"/>
          <w:sz w:val="24"/>
          <w:szCs w:val="24"/>
          <w:u w:val="single"/>
        </w:rPr>
      </w:pPr>
      <w:bookmarkStart w:id="1" w:name="_Toc21929"/>
      <w:bookmarkStart w:id="2" w:name="_Toc120633464"/>
      <w:r>
        <w:rPr>
          <w:rFonts w:hint="eastAsia" w:ascii="宋体" w:hAnsi="宋体" w:cs="宋体"/>
        </w:rPr>
        <w:t>为规范询比行为，本着公平、公正的原则，拟对</w:t>
      </w:r>
      <w:r>
        <w:rPr>
          <w:rFonts w:hint="eastAsia" w:ascii="宋体" w:hAnsi="宋体" w:cs="宋体"/>
          <w:u w:val="single"/>
        </w:rPr>
        <w:t>重庆市政府采购中心财税咨询服务采购（项目名称）</w:t>
      </w:r>
      <w:r>
        <w:rPr>
          <w:rFonts w:hint="eastAsia" w:ascii="宋体" w:hAnsi="宋体" w:cs="宋体"/>
        </w:rPr>
        <w:t>竞选，资金来源：</w:t>
      </w:r>
      <w:r>
        <w:rPr>
          <w:rFonts w:hint="eastAsia" w:ascii="宋体" w:hAnsi="宋体" w:cs="宋体"/>
          <w:u w:val="single"/>
        </w:rPr>
        <w:t>企业自筹</w:t>
      </w:r>
      <w:r>
        <w:rPr>
          <w:rFonts w:hint="eastAsia" w:ascii="宋体" w:hAnsi="宋体" w:cs="宋体"/>
        </w:rPr>
        <w:t>，资金落实情况：</w:t>
      </w:r>
      <w:r>
        <w:rPr>
          <w:rFonts w:hint="eastAsia" w:ascii="宋体" w:hAnsi="宋体" w:cs="宋体"/>
          <w:u w:val="single"/>
        </w:rPr>
        <w:t>已落实</w:t>
      </w:r>
      <w:r>
        <w:rPr>
          <w:rFonts w:hint="eastAsia" w:ascii="宋体" w:hAnsi="宋体" w:cs="宋体"/>
        </w:rPr>
        <w:t>，将在</w:t>
      </w:r>
      <w:r>
        <w:rPr>
          <w:rFonts w:hint="eastAsia"/>
        </w:rPr>
        <w:t>渝e招阳光智采平台（www.yangguangguoqi.com）上采用</w:t>
      </w:r>
      <w:r>
        <w:rPr>
          <w:rFonts w:hint="eastAsia" w:ascii="宋体" w:hAnsi="宋体" w:cs="宋体"/>
          <w:u w:val="single"/>
        </w:rPr>
        <w:t>询比采购（公开）</w:t>
      </w:r>
      <w:r>
        <w:rPr>
          <w:rFonts w:hint="eastAsia" w:ascii="宋体" w:hAnsi="宋体" w:cs="宋体"/>
        </w:rPr>
        <w:t>的方式择优选定服务单位。</w:t>
      </w:r>
      <w:bookmarkEnd w:id="1"/>
      <w:bookmarkEnd w:id="2"/>
      <w:r>
        <w:rPr>
          <w:rFonts w:hint="eastAsia" w:ascii="宋体" w:hAnsi="宋体" w:cs="宋体"/>
        </w:rPr>
        <w:t>现特邀请符合条件的潜在供应商参与竞选。</w:t>
      </w:r>
    </w:p>
    <w:p w14:paraId="5D430B37">
      <w:pPr>
        <w:spacing w:line="400" w:lineRule="exact"/>
        <w:ind w:firstLine="422" w:firstLineChars="200"/>
        <w:rPr>
          <w:rFonts w:hint="eastAsia" w:ascii="宋体" w:hAnsi="宋体" w:cs="宋体"/>
          <w:bCs/>
        </w:rPr>
      </w:pPr>
      <w:r>
        <w:rPr>
          <w:rFonts w:hint="eastAsia" w:ascii="宋体" w:hAnsi="宋体" w:cs="宋体"/>
          <w:b/>
          <w:bCs/>
        </w:rPr>
        <w:t>1、项目名称：</w:t>
      </w:r>
      <w:r>
        <w:rPr>
          <w:rFonts w:hint="eastAsia" w:ascii="宋体" w:hAnsi="宋体" w:cs="宋体"/>
          <w:b/>
          <w:bCs/>
          <w:u w:val="single"/>
        </w:rPr>
        <w:t>重庆市政府采购中心财税咨询服务采购</w:t>
      </w:r>
    </w:p>
    <w:p w14:paraId="4D40B65D">
      <w:pPr>
        <w:spacing w:line="400" w:lineRule="exact"/>
        <w:ind w:firstLine="422" w:firstLineChars="200"/>
        <w:rPr>
          <w:rFonts w:hint="eastAsia" w:ascii="宋体" w:hAnsi="宋体" w:cs="宋体"/>
        </w:rPr>
      </w:pPr>
      <w:r>
        <w:rPr>
          <w:rFonts w:hint="eastAsia" w:ascii="宋体" w:hAnsi="宋体" w:cs="宋体"/>
          <w:b/>
          <w:bCs/>
        </w:rPr>
        <w:t>2、项目概况：</w:t>
      </w:r>
    </w:p>
    <w:p w14:paraId="03412E1A">
      <w:pPr>
        <w:adjustRightInd w:val="0"/>
        <w:snapToGrid w:val="0"/>
        <w:spacing w:line="400" w:lineRule="exact"/>
        <w:ind w:firstLine="420" w:firstLineChars="200"/>
        <w:rPr>
          <w:rFonts w:hint="eastAsia" w:ascii="宋体" w:hAnsi="宋体" w:cs="宋体"/>
        </w:rPr>
      </w:pPr>
      <w:r>
        <w:rPr>
          <w:rFonts w:hint="eastAsia" w:ascii="宋体" w:hAnsi="宋体" w:cs="宋体"/>
        </w:rPr>
        <w:t>2.1、项目范围及内容：</w:t>
      </w:r>
    </w:p>
    <w:p w14:paraId="76923C09">
      <w:pPr>
        <w:adjustRightInd w:val="0"/>
        <w:snapToGrid w:val="0"/>
        <w:spacing w:line="400" w:lineRule="exact"/>
        <w:ind w:firstLine="420" w:firstLineChars="200"/>
        <w:rPr>
          <w:rFonts w:hint="eastAsia" w:ascii="宋体" w:hAnsi="宋体" w:cs="宋体"/>
        </w:rPr>
      </w:pPr>
      <w:r>
        <w:rPr>
          <w:rFonts w:hint="eastAsia" w:ascii="宋体" w:hAnsi="宋体" w:cs="宋体"/>
        </w:rPr>
        <w:t>2.1.1.提供纳税申报代理服务。中介机构向企业提供涉及的增值税、附加税、企业所得税和个人所得税等税种的纳税申报代理服务。</w:t>
      </w:r>
    </w:p>
    <w:p w14:paraId="631625FF">
      <w:pPr>
        <w:adjustRightInd w:val="0"/>
        <w:snapToGrid w:val="0"/>
        <w:spacing w:line="400" w:lineRule="exact"/>
        <w:ind w:firstLine="420" w:firstLineChars="200"/>
        <w:rPr>
          <w:rFonts w:hint="eastAsia" w:ascii="宋体" w:hAnsi="宋体" w:cs="宋体"/>
        </w:rPr>
      </w:pPr>
      <w:r>
        <w:rPr>
          <w:rFonts w:hint="eastAsia" w:ascii="宋体" w:hAnsi="宋体" w:cs="宋体"/>
        </w:rPr>
        <w:t>2.1.2.财税咨询服务。企业可享受税收优惠政策分析；财税法规和政策解读；财税业务问题答疑；财税实务操作指导；个人所得税年度汇算清缴、企业所得税年度汇算清缴、企业重组等特殊业务的财税咨询以及合规筹划；财税风险分析、评估，提供处理建议等。</w:t>
      </w:r>
    </w:p>
    <w:p w14:paraId="62CB5DF9">
      <w:pPr>
        <w:adjustRightInd w:val="0"/>
        <w:snapToGrid w:val="0"/>
        <w:spacing w:line="400" w:lineRule="exact"/>
        <w:ind w:firstLine="420" w:firstLineChars="200"/>
        <w:rPr>
          <w:rFonts w:hint="eastAsia" w:ascii="宋体" w:hAnsi="宋体" w:cs="宋体"/>
          <w:highlight w:val="yellow"/>
        </w:rPr>
      </w:pPr>
      <w:r>
        <w:rPr>
          <w:rFonts w:hint="eastAsia" w:ascii="宋体" w:hAnsi="宋体" w:cs="宋体"/>
          <w:highlight w:val="yellow"/>
        </w:rPr>
        <w:t>2.2</w:t>
      </w:r>
      <w:r>
        <w:rPr>
          <w:rFonts w:hint="eastAsia" w:ascii="宋体" w:hAnsi="宋体" w:cs="宋体"/>
          <w:color w:val="0000FF"/>
          <w:highlight w:val="yellow"/>
        </w:rPr>
        <w:t>、本项目最高限价：60000元</w:t>
      </w:r>
      <w:r>
        <w:rPr>
          <w:rFonts w:hint="eastAsia" w:ascii="宋体" w:hAnsi="宋体" w:cs="宋体"/>
          <w:highlight w:val="yellow"/>
        </w:rPr>
        <w:t>。</w:t>
      </w:r>
    </w:p>
    <w:p w14:paraId="2EE0F279">
      <w:pPr>
        <w:spacing w:line="400" w:lineRule="exact"/>
        <w:ind w:firstLine="422" w:firstLineChars="200"/>
        <w:rPr>
          <w:rFonts w:hint="eastAsia" w:ascii="宋体" w:hAnsi="宋体" w:cs="宋体"/>
          <w:bCs/>
        </w:rPr>
      </w:pPr>
      <w:r>
        <w:rPr>
          <w:rFonts w:hint="eastAsia" w:ascii="宋体" w:hAnsi="宋体" w:cs="宋体"/>
          <w:b/>
          <w:bCs/>
          <w:highlight w:val="yellow"/>
        </w:rPr>
        <w:t>3、服务期：</w:t>
      </w:r>
      <w:r>
        <w:rPr>
          <w:rFonts w:hint="eastAsia" w:ascii="宋体" w:hAnsi="宋体" w:cs="宋体"/>
          <w:highlight w:val="yellow"/>
        </w:rPr>
        <w:t>自签订之日开始，为期1年。到期前一个月，双方可协商约定是否续签。</w:t>
      </w:r>
    </w:p>
    <w:p w14:paraId="06C2DDB5">
      <w:pPr>
        <w:spacing w:line="400" w:lineRule="exact"/>
        <w:ind w:firstLine="422" w:firstLineChars="200"/>
        <w:rPr>
          <w:rFonts w:hint="eastAsia" w:ascii="宋体" w:hAnsi="宋体" w:cs="宋体"/>
          <w:bCs/>
        </w:rPr>
      </w:pPr>
      <w:r>
        <w:rPr>
          <w:rFonts w:hint="eastAsia" w:ascii="宋体" w:hAnsi="宋体" w:cs="宋体"/>
          <w:b/>
          <w:bCs/>
        </w:rPr>
        <w:t>4、询比申请人资格条件要求：</w:t>
      </w:r>
    </w:p>
    <w:p w14:paraId="4A669D18">
      <w:pPr>
        <w:adjustRightInd w:val="0"/>
        <w:snapToGrid w:val="0"/>
        <w:spacing w:line="400" w:lineRule="exact"/>
        <w:ind w:firstLine="420" w:firstLineChars="200"/>
        <w:rPr>
          <w:rFonts w:hint="eastAsia" w:ascii="宋体" w:hAnsi="宋体" w:cs="宋体"/>
        </w:rPr>
      </w:pPr>
      <w:r>
        <w:rPr>
          <w:rFonts w:hint="eastAsia" w:ascii="宋体" w:hAnsi="宋体" w:cs="宋体"/>
        </w:rPr>
        <w:t>4.1.具有独立法人资格，具有有效的营业执照。</w:t>
      </w:r>
    </w:p>
    <w:p w14:paraId="6E0C3FC7">
      <w:pPr>
        <w:adjustRightInd w:val="0"/>
        <w:snapToGrid w:val="0"/>
        <w:spacing w:line="400" w:lineRule="exact"/>
        <w:ind w:firstLine="420" w:firstLineChars="200"/>
        <w:rPr>
          <w:rFonts w:hint="eastAsia" w:ascii="宋体" w:hAnsi="宋体" w:cs="宋体"/>
        </w:rPr>
      </w:pPr>
      <w:r>
        <w:rPr>
          <w:rFonts w:hint="eastAsia" w:ascii="宋体" w:hAnsi="宋体" w:cs="宋体"/>
        </w:rPr>
        <w:t>4.2.具备行政部门颁发的税务师事务所行政登记证书。</w:t>
      </w:r>
    </w:p>
    <w:p w14:paraId="7CC022BF">
      <w:pPr>
        <w:adjustRightInd w:val="0"/>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rPr>
        <w:t>4.3.信誉要求：询比申请人具有良好的</w:t>
      </w:r>
      <w:r>
        <w:rPr>
          <w:rFonts w:hint="eastAsia" w:ascii="宋体" w:hAnsi="宋体" w:cs="宋体"/>
          <w:color w:val="000000" w:themeColor="text1"/>
          <w14:textFill>
            <w14:solidFill>
              <w14:schemeClr w14:val="tx1"/>
            </w14:solidFill>
          </w14:textFill>
        </w:rPr>
        <w:t>商业信誉和健全的财务会计制度，有依法缴纳税收和社会保障资金的良好记录，且不得存在以下情形之一：</w:t>
      </w:r>
    </w:p>
    <w:p w14:paraId="4A7B21BA">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（1）与采购方存在利害关系且可能影响采购活动公正性； </w:t>
      </w:r>
    </w:p>
    <w:p w14:paraId="6863A151">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（2）与本采购项目的其他供应商为同一个单位负责人；  </w:t>
      </w:r>
    </w:p>
    <w:p w14:paraId="0FD5CCDF">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（3）与本采购项目的其他供应商存在控股、管理关系； </w:t>
      </w:r>
    </w:p>
    <w:p w14:paraId="42A6D328">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（4）被依法暂停或者取消投标资格； </w:t>
      </w:r>
    </w:p>
    <w:p w14:paraId="70AFCB7C">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（5）被其他采购方列入黑名单并在其官网公布的；</w:t>
      </w:r>
    </w:p>
    <w:p w14:paraId="782173B8">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（6）被责令停产停业、暂扣或者吊销许可证、暂扣或者吊销执照； </w:t>
      </w:r>
    </w:p>
    <w:p w14:paraId="16FEB002">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（7）进入清算程序，或被宣告破产，或其他丧失履约能力的情形； </w:t>
      </w:r>
    </w:p>
    <w:p w14:paraId="1426761C">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（8）在最近三年内发生重大产品质量问题； </w:t>
      </w:r>
    </w:p>
    <w:p w14:paraId="6FA413CF">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（9）被市场监督管理机关在全国企业信用信息公示系统中列入经营异常、严重违法失信企业名单； </w:t>
      </w:r>
    </w:p>
    <w:p w14:paraId="4D9C0294">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（10）被列为失信被执行人名单； </w:t>
      </w:r>
    </w:p>
    <w:p w14:paraId="4E7542C3">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（11）法律法规规定的其他情形。</w:t>
      </w:r>
    </w:p>
    <w:p w14:paraId="7E272F03">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4.4.2022年1月1日至比选截止时间前（以合同签订时间为准），询比申请人承担过企业的财税咨询服务相关业绩至少1个。</w:t>
      </w:r>
    </w:p>
    <w:p w14:paraId="5C17A459">
      <w:pPr>
        <w:pStyle w:val="21"/>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4.5.服务团队主要人员</w:t>
      </w:r>
    </w:p>
    <w:p w14:paraId="73518407">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拟派服务团队不少于3名服务人员（含项目负责人）组成，项目负责人须具备税务师证书，执业年限满5年且无不良记录，其余成员中至少一名具备中级及以上会计师证书，执业年限满3年且无不良记录。</w:t>
      </w:r>
    </w:p>
    <w:p w14:paraId="01126DA0">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4.6参加本次询比活动的供应商须为已在商城注册并审查通过的供应商。</w:t>
      </w:r>
      <w:bookmarkStart w:id="82" w:name="_GoBack"/>
      <w:bookmarkEnd w:id="82"/>
    </w:p>
    <w:p w14:paraId="404391D5">
      <w:pPr>
        <w:spacing w:line="400" w:lineRule="exact"/>
        <w:ind w:firstLine="422" w:firstLineChars="200"/>
        <w:rPr>
          <w:rFonts w:hint="eastAsia" w:ascii="宋体" w:hAnsi="宋体" w:cs="宋体"/>
          <w:b/>
        </w:rPr>
      </w:pPr>
      <w:r>
        <w:rPr>
          <w:rFonts w:hint="eastAsia" w:ascii="宋体" w:hAnsi="宋体" w:cs="宋体"/>
          <w:b/>
        </w:rPr>
        <w:t>5、询比文件的获取</w:t>
      </w:r>
    </w:p>
    <w:p w14:paraId="2451EFCC">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5.1.</w:t>
      </w:r>
      <w:bookmarkStart w:id="3" w:name="OLE_LINK15"/>
      <w:r>
        <w:rPr>
          <w:rFonts w:hint="eastAsia" w:ascii="宋体" w:hAnsi="宋体" w:cs="宋体"/>
          <w:color w:val="000000" w:themeColor="text1"/>
          <w14:textFill>
            <w14:solidFill>
              <w14:schemeClr w14:val="tx1"/>
            </w14:solidFill>
          </w14:textFill>
        </w:rPr>
        <w:t>凡有意参加竞选者，请于2026年6月17 日</w:t>
      </w:r>
      <w:r>
        <w:rPr>
          <w:rFonts w:hint="eastAsia" w:ascii="宋体" w:hAnsi="宋体" w:cs="宋体"/>
          <w:color w:val="000000" w:themeColor="text1"/>
          <w:lang w:val="en-US" w:eastAsia="zh-CN"/>
          <w14:textFill>
            <w14:solidFill>
              <w14:schemeClr w14:val="tx1"/>
            </w14:solidFill>
          </w14:textFill>
        </w:rPr>
        <w:t>10</w:t>
      </w:r>
      <w:r>
        <w:rPr>
          <w:rFonts w:hint="eastAsia" w:ascii="宋体" w:hAnsi="宋体" w:cs="宋体"/>
          <w:color w:val="000000" w:themeColor="text1"/>
          <w14:textFill>
            <w14:solidFill>
              <w14:schemeClr w14:val="tx1"/>
            </w14:solidFill>
          </w14:textFill>
        </w:rPr>
        <w:t>时00分（北京时间，下同）起在《渝e招阳光智采平台（www.yangguangguoqi.com）》下载询比文件、澄清、修改、补充通知等全部内容。不管下载与否都视为潜在供应商全部知晓有关询比全部内容。</w:t>
      </w:r>
      <w:bookmarkEnd w:id="3"/>
    </w:p>
    <w:p w14:paraId="396AFDF5">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5.3.询比申请人可向代理机构提交书面质疑，提问时间从本公告发布至2026年6月20 日17时30分（北京时间）前。</w:t>
      </w:r>
    </w:p>
    <w:p w14:paraId="589D738C">
      <w:pPr>
        <w:spacing w:line="400" w:lineRule="exact"/>
        <w:ind w:firstLine="420" w:firstLineChars="200"/>
        <w:rPr>
          <w:rFonts w:hint="eastAsia" w:ascii="宋体" w:hAnsi="宋体" w:cs="宋体"/>
        </w:rPr>
      </w:pPr>
      <w:r>
        <w:rPr>
          <w:rFonts w:hint="eastAsia" w:ascii="宋体" w:hAnsi="宋体" w:cs="宋体"/>
          <w:color w:val="000000" w:themeColor="text1"/>
          <w14:textFill>
            <w14:solidFill>
              <w14:schemeClr w14:val="tx1"/>
            </w14:solidFill>
          </w14:textFill>
        </w:rPr>
        <w:t>5.4.采购人应于2026年6月22日17时30分（北京时间）前在《渝e招阳光智采平台</w:t>
      </w:r>
      <w:r>
        <w:rPr>
          <w:rFonts w:hint="eastAsia" w:ascii="宋体" w:hAnsi="宋体" w:cs="宋体"/>
        </w:rPr>
        <w:t>（www.yangguangguoqi.com）》发布澄清或修改（如有）。</w:t>
      </w:r>
    </w:p>
    <w:p w14:paraId="2B66B001">
      <w:pPr>
        <w:spacing w:line="400" w:lineRule="exact"/>
        <w:ind w:firstLine="422" w:firstLineChars="200"/>
        <w:rPr>
          <w:rFonts w:hint="eastAsia" w:ascii="宋体" w:hAnsi="宋体" w:cs="宋体"/>
          <w:b/>
        </w:rPr>
      </w:pPr>
      <w:bookmarkStart w:id="4" w:name="_Toc20157"/>
      <w:bookmarkStart w:id="5" w:name="_Toc23674"/>
      <w:bookmarkStart w:id="6" w:name="_Toc4417"/>
      <w:r>
        <w:rPr>
          <w:rFonts w:hint="eastAsia" w:ascii="宋体" w:hAnsi="宋体" w:cs="宋体"/>
          <w:b/>
        </w:rPr>
        <w:t>6、响应文件的递交</w:t>
      </w:r>
      <w:bookmarkEnd w:id="4"/>
      <w:bookmarkEnd w:id="5"/>
      <w:bookmarkEnd w:id="6"/>
    </w:p>
    <w:p w14:paraId="1D7AF0A8">
      <w:pPr>
        <w:spacing w:line="400" w:lineRule="exact"/>
        <w:ind w:left="210" w:leftChars="100" w:firstLine="210" w:firstLineChars="100"/>
        <w:rPr>
          <w:rFonts w:hint="eastAsia" w:ascii="宋体" w:hAnsi="宋体" w:cs="宋体"/>
        </w:rPr>
      </w:pPr>
      <w:bookmarkStart w:id="7" w:name="_Toc11968"/>
      <w:bookmarkStart w:id="8" w:name="_Toc6570"/>
      <w:bookmarkStart w:id="9" w:name="_Toc5041"/>
      <w:r>
        <w:rPr>
          <w:rFonts w:hint="eastAsia" w:ascii="宋体" w:hAnsi="宋体" w:cs="宋体"/>
        </w:rPr>
        <w:t>6.1响应文件递交的起止时间（询比截止时间，下同）：2026年6月23日9时30分至2026年6月23日10时00分。</w:t>
      </w:r>
      <w:bookmarkEnd w:id="7"/>
      <w:bookmarkEnd w:id="8"/>
      <w:bookmarkEnd w:id="9"/>
    </w:p>
    <w:p w14:paraId="106F0BCA">
      <w:pPr>
        <w:spacing w:line="400" w:lineRule="exact"/>
        <w:ind w:firstLine="420" w:firstLineChars="200"/>
        <w:rPr>
          <w:rFonts w:hint="eastAsia" w:ascii="宋体" w:hAnsi="宋体" w:cs="宋体"/>
        </w:rPr>
      </w:pPr>
      <w:bookmarkStart w:id="10" w:name="_Toc12603"/>
      <w:bookmarkStart w:id="11" w:name="_Toc21891"/>
      <w:bookmarkStart w:id="12" w:name="_Toc4520"/>
      <w:r>
        <w:rPr>
          <w:rFonts w:hint="eastAsia" w:ascii="宋体" w:hAnsi="宋体" w:cs="宋体"/>
        </w:rPr>
        <w:t>6.2询比地点：重庆市两江新区五里店五简路2号重庆咨询大厦A座1305室。</w:t>
      </w:r>
      <w:bookmarkEnd w:id="10"/>
      <w:bookmarkEnd w:id="11"/>
      <w:bookmarkEnd w:id="12"/>
    </w:p>
    <w:p w14:paraId="0F24050D">
      <w:pPr>
        <w:spacing w:line="400" w:lineRule="exact"/>
        <w:ind w:firstLine="420" w:firstLineChars="200"/>
        <w:rPr>
          <w:rFonts w:hint="eastAsia" w:ascii="宋体" w:hAnsi="宋体" w:cs="宋体"/>
        </w:rPr>
      </w:pPr>
      <w:bookmarkStart w:id="13" w:name="_Toc24041"/>
      <w:bookmarkStart w:id="14" w:name="_Toc2893"/>
      <w:bookmarkStart w:id="15" w:name="_Toc22210"/>
      <w:r>
        <w:rPr>
          <w:rFonts w:hint="eastAsia" w:ascii="宋体" w:hAnsi="宋体" w:cs="宋体"/>
        </w:rPr>
        <w:t>6.3询比时间：2026年6月23 日10时00分（北京时间）。</w:t>
      </w:r>
      <w:bookmarkEnd w:id="13"/>
      <w:bookmarkEnd w:id="14"/>
      <w:bookmarkEnd w:id="15"/>
    </w:p>
    <w:p w14:paraId="73E26DD4">
      <w:pPr>
        <w:spacing w:line="400" w:lineRule="exact"/>
        <w:ind w:firstLine="420" w:firstLineChars="200"/>
        <w:rPr>
          <w:rFonts w:hint="eastAsia" w:ascii="宋体" w:hAnsi="宋体" w:cs="宋体"/>
        </w:rPr>
      </w:pPr>
      <w:bookmarkStart w:id="16" w:name="_Toc21675"/>
      <w:bookmarkStart w:id="17" w:name="_Toc8022"/>
      <w:bookmarkStart w:id="18" w:name="_Toc30134"/>
      <w:r>
        <w:rPr>
          <w:rFonts w:hint="eastAsia" w:ascii="宋体" w:hAnsi="宋体" w:cs="宋体"/>
        </w:rPr>
        <w:t>6.4逾期送达，或未送达指定地点，或未密封的响应文件，采购人不予受理。</w:t>
      </w:r>
      <w:bookmarkEnd w:id="16"/>
      <w:bookmarkEnd w:id="17"/>
      <w:bookmarkEnd w:id="18"/>
    </w:p>
    <w:p w14:paraId="509C615D">
      <w:pPr>
        <w:spacing w:line="400" w:lineRule="exact"/>
        <w:ind w:firstLine="422" w:firstLineChars="200"/>
        <w:rPr>
          <w:rFonts w:hint="eastAsia" w:ascii="宋体" w:hAnsi="宋体" w:cs="宋体"/>
          <w:bCs/>
        </w:rPr>
      </w:pPr>
      <w:r>
        <w:rPr>
          <w:rFonts w:hint="eastAsia" w:ascii="宋体" w:hAnsi="宋体" w:cs="宋体"/>
          <w:b/>
        </w:rPr>
        <w:t>7、发布公告的媒介</w:t>
      </w:r>
    </w:p>
    <w:p w14:paraId="1A5016A9">
      <w:pPr>
        <w:spacing w:line="400" w:lineRule="exact"/>
        <w:ind w:firstLine="420" w:firstLineChars="200"/>
        <w:rPr>
          <w:rFonts w:hint="eastAsia" w:ascii="宋体" w:hAnsi="宋体" w:cs="宋体"/>
        </w:rPr>
      </w:pPr>
      <w:r>
        <w:rPr>
          <w:rFonts w:hint="eastAsia" w:ascii="宋体" w:hAnsi="宋体" w:cs="宋体"/>
        </w:rPr>
        <w:t>本次询比公告在渝e招阳光智采平台（</w:t>
      </w:r>
      <w:bookmarkStart w:id="19" w:name="OLE_LINK16"/>
      <w:r>
        <w:rPr>
          <w:rFonts w:hint="eastAsia" w:ascii="宋体" w:hAnsi="宋体" w:cs="宋体"/>
        </w:rPr>
        <w:t>www.yangguangguoqi.com</w:t>
      </w:r>
      <w:bookmarkEnd w:id="19"/>
      <w:r>
        <w:rPr>
          <w:rFonts w:hint="eastAsia" w:ascii="宋体" w:hAnsi="宋体" w:cs="宋体"/>
        </w:rPr>
        <w:t>）上发布。</w:t>
      </w:r>
    </w:p>
    <w:p w14:paraId="0D821E20">
      <w:pPr>
        <w:spacing w:line="400" w:lineRule="exact"/>
        <w:ind w:firstLine="422" w:firstLineChars="200"/>
        <w:rPr>
          <w:rFonts w:hint="eastAsia" w:ascii="宋体" w:hAnsi="宋体" w:cs="宋体"/>
          <w:bCs/>
        </w:rPr>
      </w:pPr>
      <w:r>
        <w:rPr>
          <w:rFonts w:hint="eastAsia" w:ascii="宋体" w:hAnsi="宋体" w:cs="宋体"/>
          <w:b/>
          <w:bCs/>
        </w:rPr>
        <w:t>8、联系方式：</w:t>
      </w:r>
    </w:p>
    <w:p w14:paraId="53CA651A">
      <w:pPr>
        <w:adjustRightInd w:val="0"/>
        <w:snapToGrid w:val="0"/>
        <w:spacing w:line="400" w:lineRule="exact"/>
        <w:ind w:firstLine="420" w:firstLineChars="200"/>
        <w:rPr>
          <w:rFonts w:hint="eastAsia" w:ascii="宋体" w:hAnsi="宋体" w:cs="宋体"/>
        </w:rPr>
      </w:pPr>
      <w:r>
        <w:rPr>
          <w:rFonts w:hint="eastAsia" w:ascii="宋体" w:hAnsi="宋体" w:cs="宋体"/>
        </w:rPr>
        <w:t>询 比 人：重庆市政府采购中心</w:t>
      </w:r>
    </w:p>
    <w:p w14:paraId="1695681F">
      <w:pPr>
        <w:adjustRightInd w:val="0"/>
        <w:snapToGrid w:val="0"/>
        <w:spacing w:line="400" w:lineRule="exact"/>
        <w:ind w:firstLine="420" w:firstLineChars="200"/>
        <w:rPr>
          <w:rFonts w:hint="eastAsia" w:ascii="宋体" w:hAnsi="宋体" w:cs="宋体"/>
        </w:rPr>
      </w:pPr>
      <w:r>
        <w:rPr>
          <w:rFonts w:hint="eastAsia" w:ascii="宋体" w:hAnsi="宋体" w:cs="宋体"/>
        </w:rPr>
        <w:t>地    址：重庆市两江新区五里店五简路2号重庆咨询大厦</w:t>
      </w:r>
    </w:p>
    <w:p w14:paraId="7CC82049">
      <w:pPr>
        <w:adjustRightInd w:val="0"/>
        <w:snapToGrid w:val="0"/>
        <w:spacing w:line="400" w:lineRule="exact"/>
        <w:ind w:firstLine="420" w:firstLineChars="200"/>
        <w:rPr>
          <w:rFonts w:hint="eastAsia" w:ascii="宋体" w:hAnsi="宋体" w:cs="宋体"/>
        </w:rPr>
      </w:pPr>
      <w:r>
        <w:rPr>
          <w:rFonts w:hint="eastAsia" w:ascii="宋体" w:hAnsi="宋体" w:cs="宋体"/>
        </w:rPr>
        <w:t>联 系 人：龚老师</w:t>
      </w:r>
    </w:p>
    <w:p w14:paraId="03260D4A">
      <w:pPr>
        <w:adjustRightInd w:val="0"/>
        <w:snapToGrid w:val="0"/>
        <w:spacing w:line="400" w:lineRule="exact"/>
        <w:ind w:firstLine="420" w:firstLineChars="200"/>
      </w:pPr>
      <w:r>
        <w:rPr>
          <w:rFonts w:hint="eastAsia" w:ascii="宋体" w:hAnsi="宋体" w:cs="宋体"/>
        </w:rPr>
        <w:t>电    话：18696621978</w:t>
      </w:r>
    </w:p>
    <w:p w14:paraId="1B110D13">
      <w:pPr>
        <w:adjustRightInd w:val="0"/>
        <w:snapToGrid w:val="0"/>
        <w:spacing w:line="400" w:lineRule="exact"/>
        <w:ind w:firstLine="420" w:firstLineChars="200"/>
        <w:rPr>
          <w:rFonts w:hint="eastAsia" w:ascii="宋体" w:hAnsi="宋体" w:cs="宋体"/>
        </w:rPr>
      </w:pPr>
    </w:p>
    <w:p w14:paraId="63A6A613">
      <w:pPr>
        <w:adjustRightInd w:val="0"/>
        <w:snapToGrid w:val="0"/>
        <w:spacing w:line="400" w:lineRule="exact"/>
        <w:ind w:firstLine="420" w:firstLineChars="200"/>
        <w:rPr>
          <w:rFonts w:hint="eastAsia" w:ascii="宋体" w:hAnsi="宋体" w:cs="宋体"/>
        </w:rPr>
      </w:pPr>
      <w:r>
        <w:rPr>
          <w:rFonts w:hint="eastAsia" w:ascii="宋体" w:hAnsi="宋体" w:cs="宋体"/>
        </w:rPr>
        <w:t>代理机构：重庆招标采购（集团）有限责任公司</w:t>
      </w:r>
    </w:p>
    <w:p w14:paraId="0B3E07CA">
      <w:pPr>
        <w:adjustRightInd w:val="0"/>
        <w:snapToGrid w:val="0"/>
        <w:spacing w:line="400" w:lineRule="exact"/>
        <w:ind w:firstLine="420" w:firstLineChars="200"/>
        <w:rPr>
          <w:rFonts w:hint="eastAsia" w:ascii="宋体" w:hAnsi="宋体" w:cs="宋体"/>
        </w:rPr>
      </w:pPr>
      <w:r>
        <w:rPr>
          <w:rFonts w:hint="eastAsia" w:ascii="宋体" w:hAnsi="宋体" w:cs="宋体"/>
        </w:rPr>
        <w:t>地址：重庆市两江新区五里店五简路2号重庆咨询大厦</w:t>
      </w:r>
    </w:p>
    <w:p w14:paraId="65BD7E89">
      <w:pPr>
        <w:adjustRightInd w:val="0"/>
        <w:snapToGrid w:val="0"/>
        <w:spacing w:line="400" w:lineRule="exact"/>
        <w:ind w:firstLine="420" w:firstLineChars="200"/>
        <w:rPr>
          <w:rFonts w:hint="eastAsia" w:ascii="宋体" w:hAnsi="宋体" w:cs="宋体"/>
        </w:rPr>
      </w:pPr>
      <w:r>
        <w:rPr>
          <w:rFonts w:hint="eastAsia" w:ascii="宋体" w:hAnsi="宋体" w:cs="宋体"/>
        </w:rPr>
        <w:t>联系人：李老师、张老师</w:t>
      </w:r>
    </w:p>
    <w:p w14:paraId="3997225F">
      <w:pPr>
        <w:adjustRightInd w:val="0"/>
        <w:snapToGrid w:val="0"/>
        <w:spacing w:line="400" w:lineRule="exact"/>
        <w:ind w:firstLine="420" w:firstLineChars="200"/>
        <w:rPr>
          <w:rFonts w:ascii="宋体"/>
          <w:sz w:val="28"/>
          <w:szCs w:val="28"/>
        </w:rPr>
      </w:pPr>
      <w:r>
        <w:rPr>
          <w:rFonts w:hint="eastAsia" w:ascii="宋体" w:hAnsi="宋体" w:cs="宋体"/>
        </w:rPr>
        <w:t>电话：400-967-1198</w:t>
      </w:r>
      <w:r>
        <w:rPr>
          <w:rFonts w:ascii="宋体"/>
        </w:rPr>
        <w:br w:type="page"/>
      </w:r>
      <w:bookmarkStart w:id="20" w:name="_Toc3650"/>
      <w:r>
        <w:rPr>
          <w:rFonts w:hint="eastAsia" w:ascii="宋体"/>
        </w:rPr>
        <w:t xml:space="preserve">                                </w:t>
      </w:r>
      <w:r>
        <w:rPr>
          <w:rFonts w:hint="eastAsia" w:ascii="宋体" w:hAnsi="宋体" w:cs="宋体"/>
          <w:b/>
          <w:bCs/>
          <w:sz w:val="28"/>
          <w:szCs w:val="28"/>
        </w:rPr>
        <w:t>第二部分 询比须知</w:t>
      </w:r>
      <w:bookmarkEnd w:id="20"/>
    </w:p>
    <w:p w14:paraId="760E707F">
      <w:pPr>
        <w:tabs>
          <w:tab w:val="left" w:pos="1800"/>
        </w:tabs>
        <w:spacing w:line="360" w:lineRule="auto"/>
        <w:ind w:right="-874" w:rightChars="-416"/>
        <w:rPr>
          <w:rFonts w:hint="eastAsia" w:ascii="宋体" w:hAnsi="宋体" w:cs="宋体"/>
          <w:b/>
          <w:bCs/>
        </w:rPr>
      </w:pPr>
      <w:bookmarkStart w:id="21" w:name="_Toc32630"/>
      <w:bookmarkStart w:id="22" w:name="_Toc120633466"/>
      <w:bookmarkStart w:id="23" w:name="_Toc28329"/>
      <w:r>
        <w:rPr>
          <w:rFonts w:hint="eastAsia" w:ascii="宋体" w:hAnsi="宋体" w:cs="宋体"/>
          <w:b/>
          <w:bCs/>
        </w:rPr>
        <w:t>一、项目名称：</w:t>
      </w:r>
      <w:bookmarkEnd w:id="21"/>
      <w:bookmarkEnd w:id="22"/>
      <w:bookmarkEnd w:id="23"/>
      <w:bookmarkStart w:id="24" w:name="_Toc27802"/>
      <w:bookmarkStart w:id="25" w:name="_Toc5888"/>
      <w:r>
        <w:rPr>
          <w:rFonts w:hint="eastAsia" w:ascii="宋体" w:hAnsi="宋体" w:cs="宋体"/>
          <w:b/>
          <w:bCs/>
        </w:rPr>
        <w:t>重庆市政府采购中心财税咨询服务采购</w:t>
      </w:r>
    </w:p>
    <w:p w14:paraId="650FFA92">
      <w:pPr>
        <w:pStyle w:val="21"/>
        <w:ind w:firstLine="0"/>
        <w:rPr>
          <w:rFonts w:hint="eastAsia"/>
          <w:b/>
          <w:bCs/>
          <w:sz w:val="21"/>
          <w:szCs w:val="21"/>
        </w:rPr>
      </w:pPr>
      <w:r>
        <w:rPr>
          <w:rFonts w:hint="eastAsia"/>
          <w:b/>
          <w:bCs/>
          <w:sz w:val="21"/>
          <w:szCs w:val="21"/>
        </w:rPr>
        <w:t>二、项目概况：</w:t>
      </w:r>
    </w:p>
    <w:p w14:paraId="25875789">
      <w:pPr>
        <w:pStyle w:val="40"/>
        <w:ind w:firstLine="420"/>
        <w:rPr>
          <w:rFonts w:hint="eastAsia" w:eastAsia="宋体"/>
          <w:sz w:val="21"/>
          <w:szCs w:val="21"/>
        </w:rPr>
      </w:pPr>
      <w:r>
        <w:rPr>
          <w:rFonts w:hint="eastAsia" w:eastAsia="宋体"/>
          <w:sz w:val="21"/>
          <w:szCs w:val="21"/>
        </w:rPr>
        <w:t>2.1、项目范围及内容：</w:t>
      </w:r>
    </w:p>
    <w:p w14:paraId="4F408545">
      <w:pPr>
        <w:pStyle w:val="40"/>
        <w:ind w:firstLine="420"/>
        <w:rPr>
          <w:rFonts w:hint="eastAsia" w:eastAsia="宋体"/>
          <w:sz w:val="21"/>
          <w:szCs w:val="21"/>
        </w:rPr>
      </w:pPr>
      <w:r>
        <w:rPr>
          <w:rFonts w:hint="eastAsia" w:eastAsia="宋体"/>
          <w:sz w:val="21"/>
          <w:szCs w:val="21"/>
        </w:rPr>
        <w:t>2.1.1.提供纳税申报代理服务。中介机构向企业提供涉及的增值税、附加税、企业所得税和个人所得税等税种的纳税申报代理服务。</w:t>
      </w:r>
    </w:p>
    <w:p w14:paraId="130B2216">
      <w:pPr>
        <w:pStyle w:val="40"/>
        <w:ind w:firstLine="420"/>
        <w:rPr>
          <w:rFonts w:hint="eastAsia" w:eastAsia="宋体"/>
          <w:sz w:val="21"/>
          <w:szCs w:val="21"/>
        </w:rPr>
      </w:pPr>
      <w:r>
        <w:rPr>
          <w:rFonts w:hint="eastAsia" w:eastAsia="宋体"/>
          <w:sz w:val="21"/>
          <w:szCs w:val="21"/>
        </w:rPr>
        <w:t>2.1.2.财税咨询服务。企业可享受税收优惠政策分析；财税法规和政策解读；财税业务问题答疑；财税实务操作指导；个人所得税年度汇算清缴、企业所得税年度汇算清缴、企业重组等特殊业务的财税咨询以及合规筹划；财税风险分析、评估，提供处理建议等。</w:t>
      </w:r>
    </w:p>
    <w:p w14:paraId="73EA00FF">
      <w:pPr>
        <w:pStyle w:val="40"/>
        <w:ind w:firstLine="420"/>
        <w:rPr>
          <w:rFonts w:hint="eastAsia" w:eastAsia="宋体"/>
          <w:sz w:val="21"/>
          <w:szCs w:val="21"/>
        </w:rPr>
      </w:pPr>
      <w:r>
        <w:rPr>
          <w:rFonts w:hint="eastAsia" w:eastAsia="宋体"/>
          <w:sz w:val="21"/>
          <w:szCs w:val="21"/>
        </w:rPr>
        <w:t>2.2、本项目最高限价：60000元。</w:t>
      </w:r>
    </w:p>
    <w:p w14:paraId="7FBCAFF4">
      <w:pPr>
        <w:pStyle w:val="40"/>
        <w:ind w:firstLine="420"/>
        <w:rPr>
          <w:rFonts w:hint="eastAsia" w:eastAsia="宋体"/>
          <w:sz w:val="21"/>
          <w:szCs w:val="21"/>
        </w:rPr>
      </w:pPr>
      <w:r>
        <w:rPr>
          <w:rFonts w:hint="eastAsia" w:eastAsia="宋体"/>
          <w:sz w:val="21"/>
          <w:szCs w:val="21"/>
          <w:highlight w:val="yellow"/>
        </w:rPr>
        <w:t>2.3、自签订之日开始，为期1年。到期前一个月，双方可协商约定是否续签。</w:t>
      </w:r>
    </w:p>
    <w:p w14:paraId="22FEBE1C">
      <w:pPr>
        <w:tabs>
          <w:tab w:val="left" w:pos="1800"/>
        </w:tabs>
        <w:spacing w:line="360" w:lineRule="auto"/>
        <w:ind w:right="-874" w:rightChars="-416"/>
        <w:rPr>
          <w:rFonts w:ascii="宋体"/>
          <w:b/>
          <w:bCs/>
        </w:rPr>
      </w:pPr>
      <w:bookmarkStart w:id="26" w:name="_Toc120633467"/>
      <w:r>
        <w:rPr>
          <w:rFonts w:hint="eastAsia" w:ascii="宋体" w:hAnsi="宋体" w:cs="宋体"/>
          <w:b/>
          <w:bCs/>
        </w:rPr>
        <w:t>三、询比申请人资格要求：</w:t>
      </w:r>
      <w:bookmarkEnd w:id="24"/>
      <w:bookmarkEnd w:id="25"/>
      <w:bookmarkEnd w:id="26"/>
    </w:p>
    <w:p w14:paraId="24991AEE">
      <w:pPr>
        <w:adjustRightInd w:val="0"/>
        <w:snapToGrid w:val="0"/>
        <w:spacing w:line="360" w:lineRule="auto"/>
        <w:ind w:firstLine="420" w:firstLineChars="200"/>
        <w:jc w:val="left"/>
        <w:rPr>
          <w:rFonts w:hint="eastAsia" w:ascii="宋体" w:hAnsi="宋体" w:cs="宋体"/>
        </w:rPr>
      </w:pPr>
      <w:bookmarkStart w:id="27" w:name="_Toc28087"/>
      <w:bookmarkStart w:id="28" w:name="_Toc2986"/>
      <w:bookmarkStart w:id="29" w:name="_Toc120633472"/>
      <w:r>
        <w:rPr>
          <w:rFonts w:hint="eastAsia" w:ascii="宋体" w:hAnsi="宋体" w:cs="宋体"/>
        </w:rPr>
        <w:t>3.1、具备有效的营业执照（询比申请人若为分公司，须提供总公司对本项目出具的授权书）</w:t>
      </w:r>
    </w:p>
    <w:p w14:paraId="7678CAAE">
      <w:pPr>
        <w:adjustRightInd w:val="0"/>
        <w:snapToGrid w:val="0"/>
        <w:spacing w:line="360" w:lineRule="auto"/>
        <w:ind w:firstLine="422" w:firstLineChars="200"/>
        <w:jc w:val="left"/>
        <w:rPr>
          <w:rFonts w:hint="eastAsia" w:ascii="宋体" w:hAnsi="宋体" w:cs="宋体"/>
        </w:rPr>
      </w:pPr>
      <w:r>
        <w:rPr>
          <w:rFonts w:hint="eastAsia" w:ascii="宋体" w:hAnsi="宋体" w:cs="宋体"/>
          <w:b/>
          <w:bCs/>
        </w:rPr>
        <w:t>提供</w:t>
      </w:r>
      <w:r>
        <w:rPr>
          <w:rFonts w:hint="eastAsia" w:ascii="宋体" w:hAnsi="宋体" w:cs="宋体"/>
        </w:rPr>
        <w:t>：有效的营业执照复印件并加盖询比申请人公章。询比申请人若为分公司，须提供总公司对本项目出具的授权书原件（格式自拟）。</w:t>
      </w:r>
    </w:p>
    <w:p w14:paraId="007DBDCC">
      <w:pPr>
        <w:adjustRightInd w:val="0"/>
        <w:snapToGrid w:val="0"/>
        <w:spacing w:line="360" w:lineRule="auto"/>
        <w:ind w:firstLine="420" w:firstLineChars="200"/>
        <w:jc w:val="left"/>
        <w:rPr>
          <w:rFonts w:hint="eastAsia" w:ascii="宋体" w:hAnsi="宋体" w:cs="宋体"/>
        </w:rPr>
      </w:pPr>
      <w:r>
        <w:rPr>
          <w:rFonts w:hint="eastAsia" w:ascii="宋体" w:hAnsi="宋体" w:cs="宋体"/>
        </w:rPr>
        <w:t>3.2、具备行政部门颁发的税务师事务所行政登记证书</w:t>
      </w:r>
    </w:p>
    <w:p w14:paraId="06EF024F">
      <w:pPr>
        <w:adjustRightInd w:val="0"/>
        <w:snapToGrid w:val="0"/>
        <w:spacing w:line="360" w:lineRule="auto"/>
        <w:ind w:firstLine="422" w:firstLineChars="200"/>
        <w:jc w:val="left"/>
        <w:rPr>
          <w:rFonts w:hint="eastAsia" w:ascii="宋体" w:hAnsi="宋体" w:cs="宋体"/>
        </w:rPr>
      </w:pPr>
      <w:r>
        <w:rPr>
          <w:rFonts w:hint="eastAsia" w:ascii="宋体" w:hAnsi="宋体" w:cs="宋体"/>
          <w:b/>
          <w:bCs/>
        </w:rPr>
        <w:t>提供：</w:t>
      </w:r>
      <w:r>
        <w:rPr>
          <w:rFonts w:hint="eastAsia" w:ascii="宋体" w:hAnsi="宋体" w:cs="宋体"/>
        </w:rPr>
        <w:t>有效的税务师事务所行政登记证书加盖询比申请人公章。</w:t>
      </w:r>
    </w:p>
    <w:p w14:paraId="21D00952">
      <w:pPr>
        <w:adjustRightInd w:val="0"/>
        <w:snapToGrid w:val="0"/>
        <w:spacing w:line="360" w:lineRule="auto"/>
        <w:ind w:firstLine="420" w:firstLineChars="200"/>
        <w:jc w:val="left"/>
        <w:rPr>
          <w:rFonts w:hint="eastAsia" w:ascii="宋体" w:hAnsi="宋体" w:cs="宋体"/>
        </w:rPr>
      </w:pPr>
      <w:r>
        <w:rPr>
          <w:rFonts w:hint="eastAsia" w:ascii="宋体" w:hAnsi="宋体" w:cs="宋体"/>
        </w:rPr>
        <w:t>3.3、信誉要求：询比申请人具有良好的商业信誉和健全的财务会计制度，有依法缴纳税收和社会保障资金的良好记录，且不得存在以下情形之一：</w:t>
      </w:r>
    </w:p>
    <w:p w14:paraId="08474634">
      <w:pPr>
        <w:pStyle w:val="21"/>
        <w:rPr>
          <w:rFonts w:hint="eastAsia"/>
          <w:sz w:val="21"/>
          <w:szCs w:val="21"/>
        </w:rPr>
      </w:pPr>
      <w:r>
        <w:rPr>
          <w:rFonts w:hint="eastAsia"/>
          <w:sz w:val="21"/>
          <w:szCs w:val="21"/>
        </w:rPr>
        <w:t xml:space="preserve">（1）与采购方存在利害关系且可能影响采购活动公正性； </w:t>
      </w:r>
    </w:p>
    <w:p w14:paraId="2BBCDB16">
      <w:pPr>
        <w:pStyle w:val="21"/>
        <w:rPr>
          <w:rFonts w:hint="eastAsia"/>
          <w:sz w:val="21"/>
          <w:szCs w:val="21"/>
        </w:rPr>
      </w:pPr>
      <w:r>
        <w:rPr>
          <w:rFonts w:hint="eastAsia"/>
          <w:sz w:val="21"/>
          <w:szCs w:val="21"/>
        </w:rPr>
        <w:t xml:space="preserve">（2）与本采购项目的其他供应商为同一个单位负责人；  </w:t>
      </w:r>
    </w:p>
    <w:p w14:paraId="096FA422">
      <w:pPr>
        <w:pStyle w:val="21"/>
        <w:rPr>
          <w:rFonts w:hint="eastAsia"/>
          <w:sz w:val="21"/>
          <w:szCs w:val="21"/>
        </w:rPr>
      </w:pPr>
      <w:r>
        <w:rPr>
          <w:rFonts w:hint="eastAsia"/>
          <w:sz w:val="21"/>
          <w:szCs w:val="21"/>
        </w:rPr>
        <w:t xml:space="preserve">（3）与本采购项目的其他供应商存在控股、管理关系； </w:t>
      </w:r>
    </w:p>
    <w:p w14:paraId="1F1BB6B4">
      <w:pPr>
        <w:pStyle w:val="21"/>
        <w:rPr>
          <w:rFonts w:hint="eastAsia"/>
          <w:sz w:val="21"/>
          <w:szCs w:val="21"/>
        </w:rPr>
      </w:pPr>
      <w:r>
        <w:rPr>
          <w:rFonts w:hint="eastAsia"/>
          <w:sz w:val="21"/>
          <w:szCs w:val="21"/>
        </w:rPr>
        <w:t xml:space="preserve">（4）被依法暂停或者取消投标资格； </w:t>
      </w:r>
    </w:p>
    <w:p w14:paraId="6C394B97">
      <w:pPr>
        <w:pStyle w:val="21"/>
        <w:rPr>
          <w:rFonts w:hint="eastAsia"/>
          <w:sz w:val="21"/>
          <w:szCs w:val="21"/>
        </w:rPr>
      </w:pPr>
      <w:r>
        <w:rPr>
          <w:rFonts w:hint="eastAsia"/>
          <w:sz w:val="21"/>
          <w:szCs w:val="21"/>
        </w:rPr>
        <w:t>（5）被其他采购方列入黑名单并在其官网公布的；</w:t>
      </w:r>
    </w:p>
    <w:p w14:paraId="6F4FEC28">
      <w:pPr>
        <w:pStyle w:val="21"/>
        <w:rPr>
          <w:rFonts w:hint="eastAsia"/>
          <w:sz w:val="21"/>
          <w:szCs w:val="21"/>
        </w:rPr>
      </w:pPr>
      <w:r>
        <w:rPr>
          <w:rFonts w:hint="eastAsia"/>
          <w:sz w:val="21"/>
          <w:szCs w:val="21"/>
        </w:rPr>
        <w:t xml:space="preserve">（6）被责令停产停业、暂扣或者吊销许可证、暂扣或者吊销执照； </w:t>
      </w:r>
    </w:p>
    <w:p w14:paraId="5C97DF97">
      <w:pPr>
        <w:pStyle w:val="21"/>
        <w:rPr>
          <w:rFonts w:hint="eastAsia"/>
          <w:sz w:val="21"/>
          <w:szCs w:val="21"/>
        </w:rPr>
      </w:pPr>
      <w:r>
        <w:rPr>
          <w:rFonts w:hint="eastAsia"/>
          <w:sz w:val="21"/>
          <w:szCs w:val="21"/>
        </w:rPr>
        <w:t xml:space="preserve">（7）进入清算程序，或被宣告破产，或其他丧失履约能力的情形； </w:t>
      </w:r>
    </w:p>
    <w:p w14:paraId="66CC218F">
      <w:pPr>
        <w:pStyle w:val="21"/>
        <w:rPr>
          <w:rFonts w:hint="eastAsia"/>
          <w:sz w:val="21"/>
          <w:szCs w:val="21"/>
        </w:rPr>
      </w:pPr>
      <w:r>
        <w:rPr>
          <w:rFonts w:hint="eastAsia"/>
          <w:sz w:val="21"/>
          <w:szCs w:val="21"/>
        </w:rPr>
        <w:t xml:space="preserve">（8）在最近三年内发生重大产品质量问题； </w:t>
      </w:r>
    </w:p>
    <w:p w14:paraId="36541554">
      <w:pPr>
        <w:pStyle w:val="21"/>
        <w:rPr>
          <w:rFonts w:hint="eastAsia"/>
          <w:sz w:val="21"/>
          <w:szCs w:val="21"/>
        </w:rPr>
      </w:pPr>
      <w:r>
        <w:rPr>
          <w:rFonts w:hint="eastAsia"/>
          <w:sz w:val="21"/>
          <w:szCs w:val="21"/>
        </w:rPr>
        <w:t xml:space="preserve">（9）被市场监督管理机关在全国企业信用信息公示系统中列入经营异常、严重违法失信企业名单； </w:t>
      </w:r>
    </w:p>
    <w:p w14:paraId="6A410396">
      <w:pPr>
        <w:pStyle w:val="21"/>
        <w:rPr>
          <w:rFonts w:hint="eastAsia"/>
          <w:sz w:val="21"/>
          <w:szCs w:val="21"/>
        </w:rPr>
      </w:pPr>
      <w:r>
        <w:rPr>
          <w:rFonts w:hint="eastAsia"/>
          <w:sz w:val="21"/>
          <w:szCs w:val="21"/>
        </w:rPr>
        <w:t xml:space="preserve">（10）被列为失信被执行人名单； </w:t>
      </w:r>
    </w:p>
    <w:p w14:paraId="16E5406D">
      <w:pPr>
        <w:pStyle w:val="21"/>
        <w:rPr>
          <w:rFonts w:hint="eastAsia"/>
          <w:sz w:val="21"/>
          <w:szCs w:val="21"/>
        </w:rPr>
      </w:pPr>
      <w:r>
        <w:rPr>
          <w:rFonts w:hint="eastAsia"/>
          <w:sz w:val="21"/>
          <w:szCs w:val="21"/>
        </w:rPr>
        <w:t>（11）法律法规规定的其他情形。</w:t>
      </w:r>
    </w:p>
    <w:p w14:paraId="45025DC3">
      <w:pPr>
        <w:adjustRightInd w:val="0"/>
        <w:snapToGrid w:val="0"/>
        <w:spacing w:line="360" w:lineRule="auto"/>
        <w:ind w:firstLine="422" w:firstLineChars="200"/>
        <w:jc w:val="left"/>
        <w:rPr>
          <w:rFonts w:hint="eastAsia" w:ascii="宋体" w:hAnsi="宋体" w:cs="宋体"/>
        </w:rPr>
      </w:pPr>
      <w:r>
        <w:rPr>
          <w:rFonts w:hint="eastAsia" w:ascii="宋体" w:hAnsi="宋体" w:cs="宋体"/>
          <w:b/>
          <w:bCs/>
        </w:rPr>
        <w:t>提供：</w:t>
      </w:r>
      <w:r>
        <w:rPr>
          <w:rFonts w:hint="eastAsia" w:ascii="宋体" w:hAnsi="宋体" w:cs="宋体"/>
        </w:rPr>
        <w:t>①信用中国网站（https://www.creditchina.gov.cn/zhuanxiangchaxun/zhongdashuishouweifaanjian/）中重大税收违法失信主体的查询结果截图，②国家企业信用信息公示系统（https://www.gsxt.gov.cn/index.html）中经营异常名录的查询结果截图，③国家企业信用信息公示系统（https://www.gsxt.gov.cn/index.html）中严重违法失信名单的查询结果截图，④中国执行信息公开网（https://zxgk.court.gov.cn/shixin/）中失信被执行人名单的查询结果截图，以上查询结果截图加盖询比申请人公章。</w:t>
      </w:r>
    </w:p>
    <w:p w14:paraId="2EBC03CE">
      <w:pPr>
        <w:adjustRightInd w:val="0"/>
        <w:snapToGrid w:val="0"/>
        <w:spacing w:line="360" w:lineRule="auto"/>
        <w:ind w:firstLine="420" w:firstLineChars="200"/>
        <w:jc w:val="left"/>
        <w:rPr>
          <w:rFonts w:hint="default" w:ascii="宋体" w:hAnsi="宋体" w:eastAsia="宋体" w:cs="宋体"/>
          <w:lang w:val="en-US" w:eastAsia="zh-CN"/>
        </w:rPr>
      </w:pPr>
      <w:r>
        <w:rPr>
          <w:rFonts w:hint="eastAsia" w:ascii="宋体" w:hAnsi="宋体" w:cs="宋体"/>
          <w:lang w:val="en-US" w:eastAsia="zh-CN"/>
        </w:rPr>
        <w:t>3.4、参加本次询比活动的供应商须为已在商城注册并审查通过的供应商。</w:t>
      </w:r>
    </w:p>
    <w:p w14:paraId="06D3ECEB">
      <w:pPr>
        <w:adjustRightInd w:val="0"/>
        <w:snapToGrid w:val="0"/>
        <w:spacing w:line="360" w:lineRule="auto"/>
        <w:ind w:firstLine="420" w:firstLineChars="200"/>
        <w:jc w:val="left"/>
        <w:rPr>
          <w:rFonts w:hint="eastAsia" w:ascii="宋体" w:hAnsi="宋体" w:cs="宋体"/>
        </w:rPr>
      </w:pPr>
      <w:r>
        <w:rPr>
          <w:rFonts w:hint="eastAsia" w:ascii="宋体" w:hAnsi="宋体" w:cs="宋体"/>
        </w:rPr>
        <w:t>3.</w:t>
      </w:r>
      <w:r>
        <w:rPr>
          <w:rFonts w:hint="eastAsia" w:ascii="宋体" w:hAnsi="宋体" w:cs="宋体"/>
          <w:lang w:val="en-US" w:eastAsia="zh-CN"/>
        </w:rPr>
        <w:t>5</w:t>
      </w:r>
      <w:r>
        <w:rPr>
          <w:rFonts w:hint="eastAsia" w:ascii="宋体" w:hAnsi="宋体" w:cs="宋体"/>
        </w:rPr>
        <w:t>、2022年1月1日至比选截止时间前（以合同签订时间为准），询比申请人承担过企业的财税咨询服务相关业绩至少1个。</w:t>
      </w:r>
    </w:p>
    <w:p w14:paraId="0B349624">
      <w:pPr>
        <w:adjustRightInd w:val="0"/>
        <w:snapToGrid w:val="0"/>
        <w:spacing w:line="360" w:lineRule="auto"/>
        <w:ind w:firstLine="422" w:firstLineChars="200"/>
        <w:jc w:val="left"/>
        <w:rPr>
          <w:rFonts w:hint="eastAsia" w:ascii="宋体" w:hAnsi="宋体" w:cs="宋体"/>
        </w:rPr>
      </w:pPr>
      <w:r>
        <w:rPr>
          <w:rFonts w:hint="eastAsia" w:ascii="宋体" w:hAnsi="宋体" w:cs="宋体"/>
          <w:b/>
          <w:bCs/>
        </w:rPr>
        <w:t>提供：</w:t>
      </w:r>
      <w:r>
        <w:rPr>
          <w:rFonts w:hint="eastAsia" w:ascii="宋体" w:hAnsi="宋体" w:cs="宋体"/>
        </w:rPr>
        <w:t>合同协议书关键页及盖章页复印件，敏感性内容可以遮挡，合同主体名称与询比申请人名称须一致。并加盖询比申请人公章。</w:t>
      </w:r>
    </w:p>
    <w:p w14:paraId="75D1E013">
      <w:pPr>
        <w:adjustRightInd w:val="0"/>
        <w:snapToGrid w:val="0"/>
        <w:spacing w:line="360" w:lineRule="auto"/>
        <w:ind w:firstLine="420" w:firstLineChars="200"/>
        <w:jc w:val="left"/>
        <w:rPr>
          <w:rFonts w:hint="eastAsia" w:ascii="宋体" w:hAnsi="宋体" w:cs="宋体"/>
        </w:rPr>
      </w:pPr>
      <w:r>
        <w:rPr>
          <w:rFonts w:hint="eastAsia" w:ascii="宋体" w:hAnsi="宋体" w:cs="宋体"/>
        </w:rPr>
        <w:t>3.</w:t>
      </w:r>
      <w:r>
        <w:rPr>
          <w:rFonts w:hint="eastAsia" w:ascii="宋体" w:hAnsi="宋体" w:cs="宋体"/>
          <w:lang w:val="en-US" w:eastAsia="zh-CN"/>
        </w:rPr>
        <w:t>6</w:t>
      </w:r>
      <w:r>
        <w:rPr>
          <w:rFonts w:hint="eastAsia" w:ascii="宋体" w:hAnsi="宋体" w:cs="宋体"/>
        </w:rPr>
        <w:t>、服务团队主要人员</w:t>
      </w:r>
    </w:p>
    <w:p w14:paraId="372E0CEA">
      <w:pPr>
        <w:spacing w:line="360" w:lineRule="auto"/>
        <w:ind w:firstLine="420" w:firstLineChars="200"/>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拟派服务团队不少于3名服务人员（含项目负责人）组成，项目负责人须具备税务师证书，执业年限满5年且无不良记录，其余成员中至少一名具备中级及以上会计师证书，执业年限满3年且无不良记录。</w:t>
      </w:r>
    </w:p>
    <w:p w14:paraId="42657C01">
      <w:pPr>
        <w:adjustRightInd w:val="0"/>
        <w:snapToGrid w:val="0"/>
        <w:spacing w:line="360" w:lineRule="auto"/>
        <w:ind w:firstLine="422" w:firstLineChars="200"/>
        <w:jc w:val="left"/>
        <w:rPr>
          <w:rFonts w:hint="eastAsia" w:ascii="宋体" w:hAnsi="宋体" w:cs="宋体"/>
        </w:rPr>
      </w:pPr>
      <w:r>
        <w:rPr>
          <w:rFonts w:hint="eastAsia" w:ascii="宋体" w:hAnsi="宋体" w:cs="宋体"/>
          <w:b/>
          <w:bCs/>
        </w:rPr>
        <w:t>提供</w:t>
      </w:r>
      <w:r>
        <w:rPr>
          <w:rFonts w:hint="eastAsia" w:ascii="宋体" w:hAnsi="宋体" w:cs="宋体"/>
        </w:rPr>
        <w:t>：提供以上拟派人员有效的身份证复印件、证书复印件，以及询比申请人出具的相关工作年限证明材料原件，加盖询比申请人公章。</w:t>
      </w:r>
    </w:p>
    <w:p w14:paraId="10C4F08F">
      <w:pPr>
        <w:adjustRightInd w:val="0"/>
        <w:snapToGrid w:val="0"/>
        <w:spacing w:line="360" w:lineRule="auto"/>
        <w:ind w:firstLine="420" w:firstLineChars="200"/>
        <w:jc w:val="left"/>
        <w:rPr>
          <w:rFonts w:hint="eastAsia" w:ascii="宋体" w:hAnsi="宋体" w:cs="宋体"/>
        </w:rPr>
      </w:pPr>
      <w:r>
        <w:rPr>
          <w:rFonts w:hint="eastAsia" w:ascii="宋体" w:hAnsi="宋体" w:cs="宋体"/>
        </w:rPr>
        <w:t>3.</w:t>
      </w:r>
      <w:r>
        <w:rPr>
          <w:rFonts w:hint="eastAsia" w:ascii="宋体" w:hAnsi="宋体" w:cs="宋体"/>
          <w:lang w:val="en-US" w:eastAsia="zh-CN"/>
        </w:rPr>
        <w:t>7</w:t>
      </w:r>
      <w:r>
        <w:rPr>
          <w:rFonts w:hint="eastAsia" w:ascii="宋体" w:hAnsi="宋体" w:cs="宋体"/>
        </w:rPr>
        <w:t>、本次询比不接受联合体，也不允许转包及分包，不允许挂靠。</w:t>
      </w:r>
    </w:p>
    <w:p w14:paraId="16152CD4">
      <w:pPr>
        <w:adjustRightInd w:val="0"/>
        <w:snapToGrid w:val="0"/>
        <w:spacing w:line="360" w:lineRule="auto"/>
        <w:ind w:firstLine="422" w:firstLineChars="200"/>
        <w:jc w:val="left"/>
        <w:rPr>
          <w:rFonts w:hint="eastAsia" w:ascii="宋体" w:hAnsi="宋体" w:cs="宋体"/>
        </w:rPr>
      </w:pPr>
      <w:r>
        <w:rPr>
          <w:rFonts w:hint="eastAsia" w:ascii="宋体" w:hAnsi="宋体" w:cs="宋体"/>
          <w:b/>
          <w:bCs/>
        </w:rPr>
        <w:t>提供：</w:t>
      </w:r>
      <w:r>
        <w:rPr>
          <w:rFonts w:hint="eastAsia" w:ascii="宋体" w:hAnsi="宋体" w:cs="宋体"/>
        </w:rPr>
        <w:t>询比申请人须对本要求提供承诺，格式详见第三章 响应文件格式。</w:t>
      </w:r>
    </w:p>
    <w:p w14:paraId="07975EBC">
      <w:pPr>
        <w:adjustRightInd w:val="0"/>
        <w:snapToGrid w:val="0"/>
        <w:spacing w:line="360" w:lineRule="auto"/>
        <w:ind w:firstLine="422" w:firstLineChars="200"/>
        <w:rPr>
          <w:rFonts w:hint="eastAsia" w:ascii="宋体" w:hAnsi="宋体" w:cs="宋体"/>
          <w:b/>
          <w:bCs/>
        </w:rPr>
      </w:pPr>
      <w:r>
        <w:rPr>
          <w:rFonts w:hint="eastAsia" w:ascii="宋体" w:hAnsi="宋体" w:cs="宋体"/>
          <w:b/>
          <w:bCs/>
        </w:rPr>
        <w:t xml:space="preserve">（特别说明：（1）上述要求提交的相关证明材料均须加盖询比申请人公章并装入响应文件中，证明材料须清晰可辨，有一条不满足，则响应文件由评审委员会作否决竞选处理。 </w:t>
      </w:r>
    </w:p>
    <w:p w14:paraId="3733F4EB">
      <w:pPr>
        <w:adjustRightInd w:val="0"/>
        <w:snapToGrid w:val="0"/>
        <w:spacing w:line="360" w:lineRule="auto"/>
        <w:ind w:firstLine="422" w:firstLineChars="200"/>
        <w:rPr>
          <w:rFonts w:hint="eastAsia" w:ascii="宋体" w:hAnsi="宋体" w:cs="宋体"/>
          <w:b/>
          <w:bCs/>
        </w:rPr>
      </w:pPr>
      <w:r>
        <w:rPr>
          <w:rFonts w:hint="eastAsia" w:ascii="宋体" w:hAnsi="宋体" w:cs="宋体"/>
          <w:b/>
          <w:bCs/>
        </w:rPr>
        <w:t>（2）询比申请人提供的上述相关证明材料须真实有效，不存在弄虚作假情形。采购人在合同签订前均有权对询比申请人提供的资料进行核实，若发现弄虚作假，按相关规定取消其资格，询比申请人承担因此造成的相关责任并赔偿相应损失。）</w:t>
      </w:r>
    </w:p>
    <w:p w14:paraId="5F47A061">
      <w:pPr>
        <w:tabs>
          <w:tab w:val="left" w:pos="1800"/>
        </w:tabs>
        <w:spacing w:line="360" w:lineRule="auto"/>
        <w:ind w:right="-874" w:rightChars="-416"/>
        <w:rPr>
          <w:rFonts w:ascii="宋体"/>
          <w:b/>
          <w:bCs/>
        </w:rPr>
      </w:pPr>
      <w:r>
        <w:rPr>
          <w:rFonts w:hint="eastAsia" w:ascii="宋体" w:hAnsi="宋体" w:cs="宋体"/>
          <w:b/>
          <w:bCs/>
        </w:rPr>
        <w:t>四、询比限价、报价、评分说明（根据项目实际情况据实调整）</w:t>
      </w:r>
      <w:r>
        <w:rPr>
          <w:rFonts w:ascii="宋体" w:hAnsi="宋体" w:cs="宋体"/>
          <w:b/>
          <w:bCs/>
        </w:rPr>
        <w:t>:</w:t>
      </w:r>
      <w:bookmarkEnd w:id="27"/>
      <w:bookmarkEnd w:id="28"/>
      <w:bookmarkEnd w:id="29"/>
    </w:p>
    <w:p w14:paraId="59E08E3E">
      <w:pPr>
        <w:tabs>
          <w:tab w:val="left" w:pos="1800"/>
        </w:tabs>
        <w:spacing w:line="360" w:lineRule="auto"/>
        <w:ind w:firstLine="420" w:firstLineChars="200"/>
        <w:rPr>
          <w:rFonts w:hint="eastAsia" w:ascii="宋体" w:hAnsi="宋体" w:cs="宋体"/>
        </w:rPr>
      </w:pPr>
      <w:bookmarkStart w:id="30" w:name="_Toc25906"/>
      <w:bookmarkStart w:id="31" w:name="_Toc120633473"/>
      <w:r>
        <w:rPr>
          <w:rFonts w:hint="eastAsia" w:ascii="宋体" w:hAnsi="宋体" w:cs="宋体"/>
        </w:rPr>
        <w:t>4.1、本项目总价包干，询比最高限价为</w:t>
      </w:r>
      <w:r>
        <w:rPr>
          <w:rFonts w:hint="eastAsia" w:ascii="宋体" w:hAnsi="宋体" w:cs="宋体"/>
          <w:u w:val="single"/>
        </w:rPr>
        <w:t>60000</w:t>
      </w:r>
      <w:r>
        <w:rPr>
          <w:rFonts w:hint="eastAsia" w:ascii="宋体" w:hAnsi="宋体" w:cs="宋体"/>
        </w:rPr>
        <w:t>元</w:t>
      </w:r>
      <w:bookmarkEnd w:id="30"/>
      <w:r>
        <w:rPr>
          <w:rFonts w:hint="eastAsia" w:ascii="宋体" w:hAnsi="宋体" w:cs="宋体"/>
        </w:rPr>
        <w:t>。询比申请人的响应报价不得超过采购人设置的最高限价，否则作否决竞选处理。询比申请人自行组织踏勘现场、结合自身实际情况自主报价（报价保留小数点后两位）。</w:t>
      </w:r>
      <w:bookmarkEnd w:id="31"/>
    </w:p>
    <w:p w14:paraId="16BDB4AC">
      <w:pPr>
        <w:tabs>
          <w:tab w:val="left" w:pos="1800"/>
        </w:tabs>
        <w:spacing w:line="360" w:lineRule="auto"/>
        <w:ind w:firstLine="420" w:firstLineChars="200"/>
        <w:rPr>
          <w:rFonts w:hint="eastAsia" w:ascii="宋体" w:hAnsi="宋体" w:cs="宋体"/>
        </w:rPr>
      </w:pPr>
      <w:bookmarkStart w:id="32" w:name="_Toc20735"/>
      <w:bookmarkStart w:id="33" w:name="_Toc120633474"/>
      <w:r>
        <w:rPr>
          <w:rFonts w:hint="eastAsia" w:ascii="宋体" w:hAnsi="宋体" w:cs="宋体"/>
        </w:rPr>
        <w:t>4.2、</w:t>
      </w:r>
      <w:bookmarkEnd w:id="32"/>
      <w:bookmarkEnd w:id="33"/>
      <w:r>
        <w:rPr>
          <w:rFonts w:hint="eastAsia" w:ascii="宋体" w:hAnsi="宋体" w:cs="宋体"/>
        </w:rPr>
        <w:t>该响应报价包括但不限于完成本项目的管理费、人工费、社会保险费、意外保险费、工伤/亡风险费用、税费等全部服务所发生及可能发生的一切费用。</w:t>
      </w:r>
    </w:p>
    <w:p w14:paraId="06C8DD4A">
      <w:pPr>
        <w:tabs>
          <w:tab w:val="left" w:pos="1800"/>
        </w:tabs>
        <w:spacing w:line="360" w:lineRule="auto"/>
        <w:ind w:right="-874" w:rightChars="-416" w:firstLine="420" w:firstLineChars="200"/>
        <w:rPr>
          <w:rFonts w:hint="eastAsia" w:ascii="宋体" w:hAnsi="宋体" w:cs="宋体"/>
        </w:rPr>
      </w:pPr>
      <w:r>
        <w:rPr>
          <w:rFonts w:hint="eastAsia" w:ascii="宋体" w:hAnsi="宋体" w:cs="宋体"/>
        </w:rPr>
        <w:t>4.3、评分说明：采用综合评估法。</w:t>
      </w:r>
    </w:p>
    <w:p w14:paraId="62DE1933">
      <w:pPr>
        <w:snapToGrid w:val="0"/>
        <w:spacing w:line="360" w:lineRule="auto"/>
        <w:rPr>
          <w:rFonts w:hint="eastAsia" w:ascii="宋体" w:hAnsi="宋体" w:cs="宋体"/>
        </w:rPr>
      </w:pPr>
      <w:bookmarkStart w:id="34" w:name="_Toc3791"/>
      <w:bookmarkStart w:id="35" w:name="_Toc9356"/>
      <w:bookmarkStart w:id="36" w:name="_Toc120633475"/>
      <w:r>
        <w:rPr>
          <w:rFonts w:hint="eastAsia" w:ascii="宋体" w:hAnsi="宋体" w:cs="宋体"/>
          <w:b/>
          <w:bCs/>
        </w:rPr>
        <w:t>五、报价及结算币种：</w:t>
      </w:r>
      <w:r>
        <w:rPr>
          <w:rFonts w:hint="eastAsia" w:ascii="宋体" w:hAnsi="宋体" w:cs="宋体"/>
        </w:rPr>
        <w:t>人民币。</w:t>
      </w:r>
      <w:bookmarkEnd w:id="34"/>
      <w:bookmarkEnd w:id="35"/>
      <w:bookmarkEnd w:id="36"/>
    </w:p>
    <w:p w14:paraId="7D79B801">
      <w:pPr>
        <w:snapToGrid w:val="0"/>
        <w:spacing w:line="360" w:lineRule="auto"/>
        <w:rPr>
          <w:rFonts w:ascii="宋体"/>
        </w:rPr>
      </w:pPr>
      <w:bookmarkStart w:id="37" w:name="_Toc30064"/>
      <w:bookmarkStart w:id="38" w:name="_Toc10726"/>
      <w:bookmarkStart w:id="39" w:name="_Toc120633476"/>
      <w:r>
        <w:rPr>
          <w:rFonts w:hint="eastAsia" w:ascii="宋体" w:hAnsi="宋体" w:cs="宋体"/>
          <w:b/>
          <w:bCs/>
        </w:rPr>
        <w:t>六、询比有效期：</w:t>
      </w:r>
      <w:r>
        <w:rPr>
          <w:rFonts w:hint="eastAsia" w:ascii="宋体" w:hAnsi="宋体" w:cs="宋体"/>
          <w:u w:val="single"/>
        </w:rPr>
        <w:t>90</w:t>
      </w:r>
      <w:r>
        <w:rPr>
          <w:rFonts w:hint="eastAsia" w:ascii="宋体" w:hAnsi="宋体" w:cs="宋体"/>
        </w:rPr>
        <w:t>日历天（从提交响应文件截止日起计算）</w:t>
      </w:r>
      <w:bookmarkEnd w:id="37"/>
      <w:bookmarkEnd w:id="38"/>
      <w:bookmarkEnd w:id="39"/>
    </w:p>
    <w:p w14:paraId="4194EF95">
      <w:pPr>
        <w:tabs>
          <w:tab w:val="left" w:pos="1080"/>
        </w:tabs>
        <w:spacing w:line="360" w:lineRule="auto"/>
        <w:rPr>
          <w:rFonts w:ascii="宋体"/>
          <w:b/>
          <w:bCs/>
        </w:rPr>
      </w:pPr>
      <w:bookmarkStart w:id="40" w:name="_Toc15441"/>
      <w:bookmarkStart w:id="41" w:name="_Toc120633477"/>
      <w:bookmarkStart w:id="42" w:name="_Toc17630"/>
      <w:r>
        <w:rPr>
          <w:rFonts w:hint="eastAsia" w:ascii="宋体" w:hAnsi="宋体" w:cs="宋体"/>
          <w:b/>
          <w:bCs/>
        </w:rPr>
        <w:t>七、响应文件的组成：</w:t>
      </w:r>
      <w:bookmarkEnd w:id="40"/>
      <w:bookmarkEnd w:id="41"/>
      <w:bookmarkEnd w:id="42"/>
      <w:r>
        <w:rPr>
          <w:rFonts w:hint="eastAsia" w:ascii="宋体" w:hAnsi="宋体" w:cs="宋体"/>
        </w:rPr>
        <w:t>详见“第三章  响应文件格式”</w:t>
      </w:r>
    </w:p>
    <w:p w14:paraId="25A8888F">
      <w:pPr>
        <w:pStyle w:val="9"/>
        <w:spacing w:line="360" w:lineRule="auto"/>
        <w:ind w:firstLine="420" w:firstLineChars="200"/>
        <w:rPr>
          <w:rFonts w:hint="eastAsia"/>
          <w:sz w:val="21"/>
          <w:szCs w:val="21"/>
        </w:rPr>
      </w:pPr>
      <w:r>
        <w:rPr>
          <w:rFonts w:hint="eastAsia"/>
          <w:sz w:val="21"/>
          <w:szCs w:val="21"/>
        </w:rPr>
        <w:t>注意：以上资料应提供复印件并加盖单位公章，否则作否决竞选处理。响应文件应提交正本1份，副本1份，正副本分别装订成册，并应编制目录、标注页码，装订后放入一大袋，必须保证响应文件密封并在大袋上加盖询比申请人单位公章，否则，采购人对由于响应文件装订松散而造成的丢失或其他后果不承担任何责任。未按规定密封的响应文件将被拒收。</w:t>
      </w:r>
    </w:p>
    <w:p w14:paraId="3503400D">
      <w:pPr>
        <w:pStyle w:val="9"/>
        <w:spacing w:line="360" w:lineRule="auto"/>
        <w:ind w:firstLine="0" w:firstLineChars="0"/>
        <w:rPr>
          <w:rFonts w:hint="eastAsia"/>
          <w:b/>
          <w:bCs/>
          <w:sz w:val="21"/>
          <w:szCs w:val="21"/>
        </w:rPr>
      </w:pPr>
      <w:r>
        <w:rPr>
          <w:rFonts w:hint="eastAsia"/>
          <w:b/>
          <w:bCs/>
          <w:sz w:val="21"/>
          <w:szCs w:val="21"/>
        </w:rPr>
        <w:t>八、结算方式：</w:t>
      </w:r>
      <w:r>
        <w:rPr>
          <w:rFonts w:hint="eastAsia"/>
          <w:sz w:val="21"/>
          <w:szCs w:val="21"/>
        </w:rPr>
        <w:t>详见合同条款。</w:t>
      </w:r>
    </w:p>
    <w:p w14:paraId="4D8B8F45">
      <w:pPr>
        <w:spacing w:line="360" w:lineRule="auto"/>
        <w:rPr>
          <w:rFonts w:hint="eastAsia" w:ascii="宋体" w:hAnsi="宋体" w:cs="宋体"/>
          <w:b/>
          <w:bCs/>
        </w:rPr>
      </w:pPr>
      <w:r>
        <w:rPr>
          <w:rFonts w:hint="eastAsia" w:ascii="宋体" w:hAnsi="宋体" w:cs="宋体"/>
          <w:b/>
          <w:bCs/>
        </w:rPr>
        <w:t>九、询比原则（综合评估法）：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15"/>
        <w:gridCol w:w="1578"/>
        <w:gridCol w:w="175"/>
        <w:gridCol w:w="5476"/>
      </w:tblGrid>
      <w:tr w14:paraId="34AE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E04222E">
            <w:pPr>
              <w:spacing w:line="400" w:lineRule="exact"/>
              <w:jc w:val="center"/>
              <w:rPr>
                <w:rFonts w:hint="eastAsia" w:ascii="宋体" w:hAnsi="宋体" w:cs="宋体"/>
                <w:b/>
                <w:kern w:val="0"/>
              </w:rPr>
            </w:pPr>
            <w:bookmarkStart w:id="43" w:name="CQZH1_07"/>
            <w:r>
              <w:rPr>
                <w:rFonts w:hint="eastAsia" w:ascii="宋体" w:hAnsi="宋体" w:cs="宋体"/>
                <w:b/>
                <w:kern w:val="0"/>
              </w:rPr>
              <w:t>条款号</w:t>
            </w:r>
          </w:p>
        </w:tc>
        <w:tc>
          <w:tcPr>
            <w:tcW w:w="1415" w:type="dxa"/>
            <w:vAlign w:val="center"/>
          </w:tcPr>
          <w:p w14:paraId="7FA02FED">
            <w:pPr>
              <w:spacing w:line="400" w:lineRule="exact"/>
              <w:jc w:val="center"/>
              <w:rPr>
                <w:rFonts w:hint="eastAsia" w:ascii="宋体" w:hAnsi="宋体" w:cs="宋体"/>
                <w:b/>
                <w:kern w:val="0"/>
              </w:rPr>
            </w:pPr>
            <w:r>
              <w:rPr>
                <w:rFonts w:hint="eastAsia" w:ascii="宋体" w:hAnsi="宋体" w:cs="宋体"/>
                <w:b/>
                <w:kern w:val="0"/>
              </w:rPr>
              <w:t>评审因素</w:t>
            </w:r>
          </w:p>
        </w:tc>
        <w:tc>
          <w:tcPr>
            <w:tcW w:w="7229" w:type="dxa"/>
            <w:gridSpan w:val="3"/>
            <w:vAlign w:val="center"/>
          </w:tcPr>
          <w:p w14:paraId="3F5B829F">
            <w:pPr>
              <w:spacing w:line="400" w:lineRule="exact"/>
              <w:jc w:val="center"/>
              <w:rPr>
                <w:rFonts w:hint="eastAsia" w:ascii="宋体" w:hAnsi="宋体" w:cs="宋体"/>
                <w:b/>
                <w:kern w:val="0"/>
              </w:rPr>
            </w:pPr>
            <w:r>
              <w:rPr>
                <w:rFonts w:hint="eastAsia" w:ascii="宋体" w:hAnsi="宋体" w:cs="宋体"/>
                <w:b/>
                <w:kern w:val="0"/>
              </w:rPr>
              <w:t>评审标准</w:t>
            </w:r>
          </w:p>
        </w:tc>
      </w:tr>
      <w:tr w14:paraId="06C7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Align w:val="center"/>
          </w:tcPr>
          <w:p w14:paraId="5F255837">
            <w:pPr>
              <w:spacing w:line="400" w:lineRule="exact"/>
              <w:jc w:val="center"/>
              <w:rPr>
                <w:rFonts w:hint="eastAsia" w:ascii="宋体" w:hAnsi="宋体" w:cs="宋体"/>
                <w:kern w:val="0"/>
              </w:rPr>
            </w:pPr>
            <w:r>
              <w:rPr>
                <w:rFonts w:hint="eastAsia" w:ascii="宋体" w:hAnsi="宋体" w:cs="宋体"/>
                <w:kern w:val="0"/>
              </w:rPr>
              <w:t>1</w:t>
            </w:r>
          </w:p>
        </w:tc>
        <w:tc>
          <w:tcPr>
            <w:tcW w:w="1415" w:type="dxa"/>
            <w:vAlign w:val="center"/>
          </w:tcPr>
          <w:p w14:paraId="7E1E92AD">
            <w:pPr>
              <w:spacing w:line="400" w:lineRule="exact"/>
              <w:jc w:val="center"/>
              <w:rPr>
                <w:rFonts w:hint="eastAsia" w:ascii="宋体" w:hAnsi="宋体" w:cs="宋体"/>
                <w:kern w:val="0"/>
              </w:rPr>
            </w:pPr>
            <w:r>
              <w:rPr>
                <w:rFonts w:hint="eastAsia" w:ascii="宋体" w:hAnsi="宋体" w:cs="宋体"/>
                <w:kern w:val="0"/>
              </w:rPr>
              <w:t>评审办法</w:t>
            </w:r>
          </w:p>
        </w:tc>
        <w:tc>
          <w:tcPr>
            <w:tcW w:w="7229" w:type="dxa"/>
            <w:gridSpan w:val="3"/>
            <w:vAlign w:val="center"/>
          </w:tcPr>
          <w:p w14:paraId="6F0EC712">
            <w:pPr>
              <w:spacing w:line="360" w:lineRule="exact"/>
              <w:ind w:firstLine="420" w:firstLineChars="200"/>
              <w:jc w:val="left"/>
            </w:pPr>
            <w:r>
              <w:rPr>
                <w:rFonts w:hint="eastAsia"/>
              </w:rPr>
              <w:t>本项目评审采用综合评估法，评审委员会对通过初步评审（2.1.1、2.1.2、2.1.3）的询比申请人按照本章规定的评分标准进行打分，并按综合得分由高到低顺序进行推荐，如出现综合得分相等时，评审委员会按以下原则确定询比申请人：</w:t>
            </w:r>
          </w:p>
          <w:p w14:paraId="0F0E3603">
            <w:pPr>
              <w:spacing w:line="360" w:lineRule="exact"/>
              <w:ind w:firstLine="420" w:firstLineChars="200"/>
              <w:jc w:val="left"/>
            </w:pPr>
            <w:r>
              <w:rPr>
                <w:rFonts w:hint="eastAsia"/>
              </w:rPr>
              <w:t>（1）如综合得分相同时，以报价得分高的优先；</w:t>
            </w:r>
          </w:p>
          <w:p w14:paraId="4340FD4A">
            <w:pPr>
              <w:spacing w:line="360" w:lineRule="exact"/>
              <w:ind w:firstLine="420" w:firstLineChars="200"/>
              <w:jc w:val="left"/>
            </w:pPr>
            <w:r>
              <w:rPr>
                <w:rFonts w:hint="eastAsia"/>
              </w:rPr>
              <w:t>（2）如报价得分也相同时，以商务部分得分高的优先；</w:t>
            </w:r>
          </w:p>
          <w:p w14:paraId="29B418A7">
            <w:pPr>
              <w:spacing w:line="360" w:lineRule="auto"/>
              <w:ind w:firstLine="420" w:firstLineChars="200"/>
              <w:rPr>
                <w:rFonts w:hint="eastAsia" w:ascii="宋体" w:hAnsi="宋体" w:cs="宋体"/>
                <w:kern w:val="0"/>
              </w:rPr>
            </w:pPr>
            <w:r>
              <w:rPr>
                <w:rFonts w:hint="eastAsia"/>
              </w:rPr>
              <w:t>（3）如商务部分得分也相同时，则由评审委员会投票决定。</w:t>
            </w:r>
          </w:p>
        </w:tc>
      </w:tr>
      <w:tr w14:paraId="53BB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restart"/>
            <w:vAlign w:val="center"/>
          </w:tcPr>
          <w:p w14:paraId="32FDE761">
            <w:pPr>
              <w:spacing w:line="400" w:lineRule="exact"/>
              <w:jc w:val="center"/>
              <w:rPr>
                <w:rFonts w:hint="eastAsia" w:ascii="宋体" w:hAnsi="宋体" w:cs="宋体"/>
                <w:kern w:val="0"/>
              </w:rPr>
            </w:pPr>
            <w:r>
              <w:rPr>
                <w:rFonts w:hint="eastAsia" w:ascii="宋体" w:hAnsi="宋体" w:cs="宋体"/>
                <w:kern w:val="0"/>
              </w:rPr>
              <w:t>2.1.1</w:t>
            </w:r>
          </w:p>
        </w:tc>
        <w:tc>
          <w:tcPr>
            <w:tcW w:w="1415" w:type="dxa"/>
            <w:vMerge w:val="restart"/>
            <w:textDirection w:val="tbRlV"/>
            <w:vAlign w:val="center"/>
          </w:tcPr>
          <w:p w14:paraId="51A24A08">
            <w:pPr>
              <w:spacing w:line="400" w:lineRule="exact"/>
              <w:ind w:left="113" w:right="113"/>
              <w:jc w:val="center"/>
              <w:rPr>
                <w:rFonts w:hint="eastAsia" w:ascii="宋体" w:hAnsi="宋体" w:cs="宋体"/>
                <w:kern w:val="0"/>
              </w:rPr>
            </w:pPr>
            <w:r>
              <w:rPr>
                <w:rFonts w:hint="eastAsia" w:ascii="宋体" w:hAnsi="宋体" w:cs="宋体"/>
                <w:kern w:val="0"/>
              </w:rPr>
              <w:t>形式评审标准</w:t>
            </w:r>
          </w:p>
        </w:tc>
        <w:tc>
          <w:tcPr>
            <w:tcW w:w="1753" w:type="dxa"/>
            <w:gridSpan w:val="2"/>
            <w:vAlign w:val="center"/>
          </w:tcPr>
          <w:p w14:paraId="59FEEDEB">
            <w:pPr>
              <w:spacing w:line="360" w:lineRule="auto"/>
              <w:jc w:val="center"/>
              <w:rPr>
                <w:rFonts w:hint="eastAsia" w:ascii="宋体" w:hAnsi="宋体" w:cs="宋体"/>
                <w:kern w:val="0"/>
              </w:rPr>
            </w:pPr>
            <w:r>
              <w:rPr>
                <w:rFonts w:hint="eastAsia" w:ascii="宋体" w:hAnsi="宋体" w:cs="宋体"/>
                <w:kern w:val="0"/>
              </w:rPr>
              <w:t>询比申请人名称</w:t>
            </w:r>
          </w:p>
        </w:tc>
        <w:tc>
          <w:tcPr>
            <w:tcW w:w="5476" w:type="dxa"/>
            <w:vAlign w:val="center"/>
          </w:tcPr>
          <w:p w14:paraId="23FA487C">
            <w:pPr>
              <w:spacing w:line="360" w:lineRule="auto"/>
              <w:ind w:firstLine="420" w:firstLineChars="200"/>
              <w:rPr>
                <w:rFonts w:hint="eastAsia" w:ascii="宋体" w:hAnsi="宋体" w:cs="宋体"/>
                <w:kern w:val="0"/>
              </w:rPr>
            </w:pPr>
            <w:r>
              <w:rPr>
                <w:rFonts w:hint="eastAsia" w:ascii="宋体" w:hAnsi="宋体" w:cs="宋体"/>
                <w:kern w:val="0"/>
              </w:rPr>
              <w:t>与营业执照、资质一致，依法变更名称的应提交相应证明材料。</w:t>
            </w:r>
          </w:p>
        </w:tc>
      </w:tr>
      <w:tr w14:paraId="245A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20" w:type="dxa"/>
            <w:vMerge w:val="continue"/>
          </w:tcPr>
          <w:p w14:paraId="59D2AB19">
            <w:pPr>
              <w:spacing w:line="400" w:lineRule="exact"/>
              <w:rPr>
                <w:rFonts w:hint="eastAsia" w:ascii="宋体" w:hAnsi="宋体" w:cs="宋体"/>
              </w:rPr>
            </w:pPr>
          </w:p>
        </w:tc>
        <w:tc>
          <w:tcPr>
            <w:tcW w:w="1415" w:type="dxa"/>
            <w:vMerge w:val="continue"/>
            <w:vAlign w:val="center"/>
          </w:tcPr>
          <w:p w14:paraId="01FAD094">
            <w:pPr>
              <w:spacing w:line="400" w:lineRule="exact"/>
              <w:jc w:val="center"/>
              <w:rPr>
                <w:rFonts w:hint="eastAsia" w:ascii="宋体" w:hAnsi="宋体" w:cs="宋体"/>
              </w:rPr>
            </w:pPr>
          </w:p>
        </w:tc>
        <w:tc>
          <w:tcPr>
            <w:tcW w:w="1753" w:type="dxa"/>
            <w:gridSpan w:val="2"/>
            <w:vAlign w:val="center"/>
          </w:tcPr>
          <w:p w14:paraId="0E205FDD">
            <w:pPr>
              <w:spacing w:line="360" w:lineRule="auto"/>
              <w:jc w:val="center"/>
              <w:rPr>
                <w:rFonts w:hint="eastAsia" w:ascii="宋体" w:hAnsi="宋体" w:cs="宋体"/>
                <w:kern w:val="0"/>
              </w:rPr>
            </w:pPr>
            <w:r>
              <w:rPr>
                <w:rFonts w:hint="eastAsia" w:ascii="宋体" w:hAnsi="宋体" w:cs="宋体"/>
                <w:kern w:val="0"/>
              </w:rPr>
              <w:t>响应文件组成</w:t>
            </w:r>
          </w:p>
        </w:tc>
        <w:tc>
          <w:tcPr>
            <w:tcW w:w="5476" w:type="dxa"/>
            <w:vAlign w:val="center"/>
          </w:tcPr>
          <w:p w14:paraId="0B0A4734">
            <w:pPr>
              <w:spacing w:line="360" w:lineRule="auto"/>
              <w:ind w:firstLine="420" w:firstLineChars="200"/>
              <w:rPr>
                <w:rFonts w:hint="eastAsia" w:ascii="宋体" w:hAnsi="宋体" w:cs="宋体"/>
                <w:kern w:val="0"/>
              </w:rPr>
            </w:pPr>
            <w:r>
              <w:rPr>
                <w:rFonts w:hint="eastAsia" w:ascii="宋体" w:hAnsi="宋体" w:cs="宋体"/>
                <w:kern w:val="0"/>
              </w:rPr>
              <w:t>符合询比文件“第二部分 七、响应文件的组成”规定</w:t>
            </w:r>
          </w:p>
        </w:tc>
      </w:tr>
      <w:tr w14:paraId="439D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20" w:type="dxa"/>
            <w:vMerge w:val="continue"/>
          </w:tcPr>
          <w:p w14:paraId="40C8B441">
            <w:pPr>
              <w:spacing w:line="400" w:lineRule="exact"/>
              <w:rPr>
                <w:rFonts w:hint="eastAsia" w:ascii="宋体" w:hAnsi="宋体" w:cs="宋体"/>
              </w:rPr>
            </w:pPr>
          </w:p>
        </w:tc>
        <w:tc>
          <w:tcPr>
            <w:tcW w:w="1415" w:type="dxa"/>
            <w:vMerge w:val="continue"/>
            <w:vAlign w:val="center"/>
          </w:tcPr>
          <w:p w14:paraId="3ECCD44B">
            <w:pPr>
              <w:spacing w:line="400" w:lineRule="exact"/>
              <w:jc w:val="center"/>
              <w:rPr>
                <w:rFonts w:hint="eastAsia" w:ascii="宋体" w:hAnsi="宋体" w:cs="宋体"/>
              </w:rPr>
            </w:pPr>
          </w:p>
        </w:tc>
        <w:tc>
          <w:tcPr>
            <w:tcW w:w="1753" w:type="dxa"/>
            <w:gridSpan w:val="2"/>
            <w:vAlign w:val="center"/>
          </w:tcPr>
          <w:p w14:paraId="7D773241">
            <w:pPr>
              <w:spacing w:line="360" w:lineRule="auto"/>
              <w:jc w:val="center"/>
              <w:rPr>
                <w:rFonts w:hint="eastAsia" w:ascii="宋体" w:hAnsi="宋体" w:cs="宋体"/>
              </w:rPr>
            </w:pPr>
            <w:r>
              <w:rPr>
                <w:rFonts w:hint="eastAsia" w:ascii="宋体" w:hAnsi="宋体" w:cs="宋体"/>
                <w:kern w:val="0"/>
              </w:rPr>
              <w:t>报价唯一</w:t>
            </w:r>
          </w:p>
        </w:tc>
        <w:tc>
          <w:tcPr>
            <w:tcW w:w="5476" w:type="dxa"/>
            <w:vAlign w:val="center"/>
          </w:tcPr>
          <w:p w14:paraId="444335B9">
            <w:pPr>
              <w:spacing w:line="360" w:lineRule="auto"/>
              <w:ind w:firstLine="420" w:firstLineChars="200"/>
              <w:rPr>
                <w:rFonts w:hint="eastAsia" w:ascii="宋体" w:hAnsi="宋体" w:cs="宋体"/>
                <w:kern w:val="0"/>
              </w:rPr>
            </w:pPr>
            <w:r>
              <w:rPr>
                <w:rFonts w:hint="eastAsia" w:ascii="宋体" w:hAnsi="宋体" w:cs="宋体"/>
                <w:kern w:val="0"/>
              </w:rPr>
              <w:t>只能有一个有效报价。在询比文件没有规定的情况下，不得提交选择性报价。</w:t>
            </w:r>
          </w:p>
        </w:tc>
      </w:tr>
      <w:tr w14:paraId="64CF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20" w:type="dxa"/>
            <w:vMerge w:val="continue"/>
          </w:tcPr>
          <w:p w14:paraId="3763BE3B">
            <w:pPr>
              <w:spacing w:line="400" w:lineRule="exact"/>
              <w:rPr>
                <w:rFonts w:hint="eastAsia" w:ascii="宋体" w:hAnsi="宋体" w:cs="宋体"/>
              </w:rPr>
            </w:pPr>
          </w:p>
        </w:tc>
        <w:tc>
          <w:tcPr>
            <w:tcW w:w="1415" w:type="dxa"/>
            <w:vMerge w:val="continue"/>
            <w:vAlign w:val="center"/>
          </w:tcPr>
          <w:p w14:paraId="16E38909">
            <w:pPr>
              <w:spacing w:line="400" w:lineRule="exact"/>
              <w:jc w:val="center"/>
              <w:rPr>
                <w:rFonts w:hint="eastAsia" w:ascii="宋体" w:hAnsi="宋体" w:cs="宋体"/>
              </w:rPr>
            </w:pPr>
          </w:p>
        </w:tc>
        <w:tc>
          <w:tcPr>
            <w:tcW w:w="1753" w:type="dxa"/>
            <w:gridSpan w:val="2"/>
            <w:vAlign w:val="center"/>
          </w:tcPr>
          <w:p w14:paraId="0CB52321">
            <w:pPr>
              <w:spacing w:line="360" w:lineRule="auto"/>
              <w:jc w:val="center"/>
              <w:rPr>
                <w:rFonts w:hint="eastAsia" w:ascii="宋体" w:hAnsi="宋体" w:cs="宋体"/>
                <w:kern w:val="0"/>
              </w:rPr>
            </w:pPr>
            <w:r>
              <w:rPr>
                <w:rFonts w:hint="eastAsia" w:ascii="宋体" w:hAnsi="宋体" w:cs="宋体"/>
              </w:rPr>
              <w:t>响应文件的签字盖章</w:t>
            </w:r>
          </w:p>
        </w:tc>
        <w:tc>
          <w:tcPr>
            <w:tcW w:w="5476" w:type="dxa"/>
            <w:vAlign w:val="center"/>
          </w:tcPr>
          <w:p w14:paraId="150FD96D">
            <w:pPr>
              <w:spacing w:line="360" w:lineRule="auto"/>
              <w:ind w:firstLine="420" w:firstLineChars="200"/>
              <w:rPr>
                <w:rFonts w:hint="eastAsia" w:ascii="宋体" w:hAnsi="宋体" w:cs="宋体"/>
                <w:kern w:val="0"/>
              </w:rPr>
            </w:pPr>
            <w:r>
              <w:rPr>
                <w:rFonts w:hint="eastAsia" w:ascii="宋体" w:hAnsi="宋体" w:cs="宋体"/>
                <w:kern w:val="0"/>
              </w:rPr>
              <w:t>响应文件要求加盖询比申请人公章、法定代表人或其委托代理人签字（或盖章）的须齐全。</w:t>
            </w:r>
          </w:p>
        </w:tc>
      </w:tr>
      <w:tr w14:paraId="5EF9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39ABAB11">
            <w:pPr>
              <w:spacing w:line="400" w:lineRule="exact"/>
              <w:jc w:val="center"/>
              <w:rPr>
                <w:rFonts w:hint="eastAsia" w:ascii="宋体" w:hAnsi="宋体" w:cs="宋体"/>
                <w:kern w:val="0"/>
              </w:rPr>
            </w:pPr>
            <w:r>
              <w:rPr>
                <w:rFonts w:hint="eastAsia" w:ascii="宋体" w:hAnsi="宋体" w:cs="宋体"/>
                <w:kern w:val="0"/>
              </w:rPr>
              <w:t>2.1.2</w:t>
            </w:r>
          </w:p>
        </w:tc>
        <w:tc>
          <w:tcPr>
            <w:tcW w:w="1415" w:type="dxa"/>
            <w:vMerge w:val="restart"/>
            <w:textDirection w:val="tbRlV"/>
            <w:vAlign w:val="center"/>
          </w:tcPr>
          <w:p w14:paraId="09CE8325">
            <w:pPr>
              <w:spacing w:line="400" w:lineRule="exact"/>
              <w:ind w:left="113" w:right="113"/>
              <w:jc w:val="center"/>
              <w:rPr>
                <w:rFonts w:hint="eastAsia" w:ascii="宋体" w:hAnsi="宋体" w:cs="宋体"/>
                <w:kern w:val="0"/>
              </w:rPr>
            </w:pPr>
            <w:r>
              <w:rPr>
                <w:rFonts w:hint="eastAsia" w:ascii="宋体" w:hAnsi="宋体" w:cs="宋体"/>
                <w:kern w:val="0"/>
              </w:rPr>
              <w:t>资格评审标准</w:t>
            </w:r>
          </w:p>
        </w:tc>
        <w:tc>
          <w:tcPr>
            <w:tcW w:w="1753" w:type="dxa"/>
            <w:gridSpan w:val="2"/>
            <w:vAlign w:val="center"/>
          </w:tcPr>
          <w:p w14:paraId="5289DF5B">
            <w:pPr>
              <w:spacing w:line="360" w:lineRule="auto"/>
              <w:jc w:val="center"/>
              <w:rPr>
                <w:rFonts w:hint="eastAsia" w:ascii="宋体" w:hAnsi="宋体" w:cs="宋体"/>
                <w:kern w:val="0"/>
              </w:rPr>
            </w:pPr>
            <w:r>
              <w:rPr>
                <w:rFonts w:hint="eastAsia" w:ascii="宋体" w:hAnsi="宋体" w:cs="宋体"/>
              </w:rPr>
              <w:t>营业执照</w:t>
            </w:r>
          </w:p>
        </w:tc>
        <w:tc>
          <w:tcPr>
            <w:tcW w:w="5476" w:type="dxa"/>
            <w:vAlign w:val="center"/>
          </w:tcPr>
          <w:p w14:paraId="0E4A99C0">
            <w:pPr>
              <w:spacing w:line="360" w:lineRule="auto"/>
              <w:ind w:firstLine="420" w:firstLineChars="200"/>
              <w:rPr>
                <w:rFonts w:hint="eastAsia" w:ascii="宋体" w:hAnsi="宋体" w:cs="宋体"/>
                <w:kern w:val="0"/>
              </w:rPr>
            </w:pPr>
            <w:r>
              <w:rPr>
                <w:rFonts w:hint="eastAsia" w:ascii="宋体" w:hAnsi="宋体" w:cs="宋体"/>
                <w:kern w:val="0"/>
              </w:rPr>
              <w:t>符合询比文件“第二部分 三、询比申请人资格要求”规定</w:t>
            </w:r>
          </w:p>
        </w:tc>
      </w:tr>
      <w:tr w14:paraId="6878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396002A">
            <w:pPr>
              <w:spacing w:line="400" w:lineRule="exact"/>
              <w:jc w:val="center"/>
              <w:rPr>
                <w:rFonts w:hint="eastAsia" w:ascii="宋体" w:hAnsi="宋体" w:cs="宋体"/>
                <w:kern w:val="0"/>
              </w:rPr>
            </w:pPr>
          </w:p>
        </w:tc>
        <w:tc>
          <w:tcPr>
            <w:tcW w:w="1415" w:type="dxa"/>
            <w:vMerge w:val="continue"/>
            <w:vAlign w:val="center"/>
          </w:tcPr>
          <w:p w14:paraId="15E4679D">
            <w:pPr>
              <w:spacing w:line="400" w:lineRule="exact"/>
              <w:jc w:val="center"/>
              <w:rPr>
                <w:rFonts w:hint="eastAsia" w:ascii="宋体" w:hAnsi="宋体" w:cs="宋体"/>
                <w:kern w:val="0"/>
              </w:rPr>
            </w:pPr>
          </w:p>
        </w:tc>
        <w:tc>
          <w:tcPr>
            <w:tcW w:w="1753" w:type="dxa"/>
            <w:gridSpan w:val="2"/>
            <w:vAlign w:val="center"/>
          </w:tcPr>
          <w:p w14:paraId="3C6A4265">
            <w:pPr>
              <w:spacing w:line="360" w:lineRule="auto"/>
              <w:jc w:val="center"/>
              <w:rPr>
                <w:rFonts w:hint="eastAsia" w:ascii="宋体" w:hAnsi="宋体" w:cs="宋体"/>
              </w:rPr>
            </w:pPr>
            <w:r>
              <w:rPr>
                <w:rFonts w:hint="eastAsia" w:ascii="宋体" w:hAnsi="宋体" w:cs="宋体"/>
              </w:rPr>
              <w:t>税务师事务所行政登记证书</w:t>
            </w:r>
          </w:p>
        </w:tc>
        <w:tc>
          <w:tcPr>
            <w:tcW w:w="5476" w:type="dxa"/>
            <w:vAlign w:val="center"/>
          </w:tcPr>
          <w:p w14:paraId="3F5E8835">
            <w:pPr>
              <w:spacing w:line="360" w:lineRule="auto"/>
              <w:ind w:firstLine="420" w:firstLineChars="200"/>
              <w:rPr>
                <w:rFonts w:hint="eastAsia" w:ascii="宋体" w:hAnsi="宋体" w:cs="宋体"/>
                <w:kern w:val="0"/>
              </w:rPr>
            </w:pPr>
            <w:r>
              <w:rPr>
                <w:rFonts w:hint="eastAsia" w:ascii="宋体" w:hAnsi="宋体" w:cs="宋体"/>
                <w:kern w:val="0"/>
              </w:rPr>
              <w:t>符合询比文件“第二部分 三、询比申请人资格要求”规定</w:t>
            </w:r>
          </w:p>
        </w:tc>
      </w:tr>
      <w:tr w14:paraId="13FB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361782A">
            <w:pPr>
              <w:spacing w:line="400" w:lineRule="exact"/>
              <w:jc w:val="center"/>
              <w:rPr>
                <w:rFonts w:hint="eastAsia" w:ascii="宋体" w:hAnsi="宋体" w:cs="宋体"/>
                <w:kern w:val="0"/>
              </w:rPr>
            </w:pPr>
          </w:p>
        </w:tc>
        <w:tc>
          <w:tcPr>
            <w:tcW w:w="1415" w:type="dxa"/>
            <w:vMerge w:val="continue"/>
            <w:vAlign w:val="center"/>
          </w:tcPr>
          <w:p w14:paraId="7095105E">
            <w:pPr>
              <w:spacing w:line="400" w:lineRule="exact"/>
              <w:jc w:val="center"/>
              <w:rPr>
                <w:rFonts w:hint="eastAsia" w:ascii="宋体" w:hAnsi="宋体" w:cs="宋体"/>
                <w:kern w:val="0"/>
              </w:rPr>
            </w:pPr>
          </w:p>
        </w:tc>
        <w:tc>
          <w:tcPr>
            <w:tcW w:w="1753" w:type="dxa"/>
            <w:gridSpan w:val="2"/>
            <w:vAlign w:val="center"/>
          </w:tcPr>
          <w:p w14:paraId="2F45F2D0">
            <w:pPr>
              <w:spacing w:line="360" w:lineRule="auto"/>
              <w:jc w:val="center"/>
              <w:rPr>
                <w:rFonts w:hint="eastAsia" w:ascii="宋体" w:hAnsi="宋体" w:cs="宋体"/>
                <w:kern w:val="0"/>
              </w:rPr>
            </w:pPr>
            <w:r>
              <w:rPr>
                <w:rFonts w:hint="eastAsia" w:ascii="宋体" w:hAnsi="宋体" w:cs="宋体"/>
              </w:rPr>
              <w:t>信誉要求</w:t>
            </w:r>
          </w:p>
        </w:tc>
        <w:tc>
          <w:tcPr>
            <w:tcW w:w="5476" w:type="dxa"/>
            <w:vAlign w:val="center"/>
          </w:tcPr>
          <w:p w14:paraId="59FF4348">
            <w:pPr>
              <w:spacing w:line="360" w:lineRule="auto"/>
              <w:ind w:firstLine="420" w:firstLineChars="200"/>
              <w:rPr>
                <w:rFonts w:hint="eastAsia" w:ascii="宋体" w:hAnsi="宋体" w:cs="宋体"/>
                <w:kern w:val="0"/>
              </w:rPr>
            </w:pPr>
            <w:r>
              <w:rPr>
                <w:rFonts w:hint="eastAsia" w:ascii="宋体" w:hAnsi="宋体" w:cs="宋体"/>
                <w:kern w:val="0"/>
              </w:rPr>
              <w:t>符合询比文件“第二部分 三、询比申请人资格要求”规定</w:t>
            </w:r>
          </w:p>
        </w:tc>
      </w:tr>
      <w:tr w14:paraId="611E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700CD65">
            <w:pPr>
              <w:spacing w:line="400" w:lineRule="exact"/>
              <w:jc w:val="center"/>
              <w:rPr>
                <w:rFonts w:hint="eastAsia" w:ascii="宋体" w:hAnsi="宋体" w:cs="宋体"/>
                <w:kern w:val="0"/>
              </w:rPr>
            </w:pPr>
          </w:p>
        </w:tc>
        <w:tc>
          <w:tcPr>
            <w:tcW w:w="1415" w:type="dxa"/>
            <w:vMerge w:val="continue"/>
            <w:vAlign w:val="center"/>
          </w:tcPr>
          <w:p w14:paraId="49BC3BE4">
            <w:pPr>
              <w:spacing w:line="400" w:lineRule="exact"/>
              <w:jc w:val="center"/>
              <w:rPr>
                <w:rFonts w:hint="eastAsia" w:ascii="宋体" w:hAnsi="宋体" w:cs="宋体"/>
                <w:kern w:val="0"/>
              </w:rPr>
            </w:pPr>
          </w:p>
        </w:tc>
        <w:tc>
          <w:tcPr>
            <w:tcW w:w="1753" w:type="dxa"/>
            <w:gridSpan w:val="2"/>
            <w:vAlign w:val="center"/>
          </w:tcPr>
          <w:p w14:paraId="2C99A0E4">
            <w:pPr>
              <w:spacing w:line="360" w:lineRule="auto"/>
              <w:jc w:val="center"/>
              <w:rPr>
                <w:rFonts w:hint="eastAsia" w:ascii="宋体" w:hAnsi="宋体" w:cs="宋体"/>
              </w:rPr>
            </w:pPr>
            <w:r>
              <w:rPr>
                <w:rFonts w:hint="eastAsia" w:ascii="宋体" w:hAnsi="宋体" w:cs="宋体"/>
              </w:rPr>
              <w:t>业绩要求</w:t>
            </w:r>
          </w:p>
        </w:tc>
        <w:tc>
          <w:tcPr>
            <w:tcW w:w="5476" w:type="dxa"/>
            <w:vAlign w:val="center"/>
          </w:tcPr>
          <w:p w14:paraId="7D0F77EF">
            <w:pPr>
              <w:spacing w:line="360" w:lineRule="auto"/>
              <w:ind w:firstLine="420" w:firstLineChars="200"/>
              <w:rPr>
                <w:rFonts w:hint="eastAsia" w:ascii="宋体" w:hAnsi="宋体" w:cs="宋体"/>
                <w:kern w:val="0"/>
              </w:rPr>
            </w:pPr>
            <w:r>
              <w:rPr>
                <w:rFonts w:hint="eastAsia" w:ascii="宋体" w:hAnsi="宋体" w:cs="宋体"/>
                <w:kern w:val="0"/>
              </w:rPr>
              <w:t>符合询比文件“第二部分 三、询比申请人资格要求”规定</w:t>
            </w:r>
          </w:p>
        </w:tc>
      </w:tr>
      <w:tr w14:paraId="108D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4794364">
            <w:pPr>
              <w:spacing w:line="400" w:lineRule="exact"/>
              <w:jc w:val="center"/>
              <w:rPr>
                <w:rFonts w:hint="eastAsia" w:ascii="宋体" w:hAnsi="宋体" w:cs="宋体"/>
                <w:kern w:val="0"/>
              </w:rPr>
            </w:pPr>
          </w:p>
        </w:tc>
        <w:tc>
          <w:tcPr>
            <w:tcW w:w="1415" w:type="dxa"/>
            <w:vMerge w:val="continue"/>
            <w:vAlign w:val="center"/>
          </w:tcPr>
          <w:p w14:paraId="320C8C8C">
            <w:pPr>
              <w:spacing w:line="400" w:lineRule="exact"/>
              <w:jc w:val="center"/>
              <w:rPr>
                <w:rFonts w:hint="eastAsia" w:ascii="宋体" w:hAnsi="宋体" w:cs="宋体"/>
                <w:kern w:val="0"/>
              </w:rPr>
            </w:pPr>
          </w:p>
        </w:tc>
        <w:tc>
          <w:tcPr>
            <w:tcW w:w="1753" w:type="dxa"/>
            <w:gridSpan w:val="2"/>
            <w:vAlign w:val="center"/>
          </w:tcPr>
          <w:p w14:paraId="0C986B0C">
            <w:pPr>
              <w:spacing w:line="360" w:lineRule="auto"/>
              <w:jc w:val="center"/>
              <w:rPr>
                <w:rFonts w:hint="eastAsia" w:ascii="宋体" w:hAnsi="宋体" w:cs="宋体"/>
              </w:rPr>
            </w:pPr>
            <w:r>
              <w:rPr>
                <w:rFonts w:hint="eastAsia" w:ascii="宋体" w:hAnsi="宋体" w:cs="宋体"/>
              </w:rPr>
              <w:t>人员要求</w:t>
            </w:r>
          </w:p>
        </w:tc>
        <w:tc>
          <w:tcPr>
            <w:tcW w:w="5476" w:type="dxa"/>
            <w:vAlign w:val="center"/>
          </w:tcPr>
          <w:p w14:paraId="59378567">
            <w:pPr>
              <w:spacing w:line="360" w:lineRule="auto"/>
              <w:ind w:firstLine="420" w:firstLineChars="200"/>
              <w:rPr>
                <w:rFonts w:hint="eastAsia" w:ascii="宋体" w:hAnsi="宋体" w:cs="宋体"/>
                <w:kern w:val="0"/>
              </w:rPr>
            </w:pPr>
            <w:r>
              <w:rPr>
                <w:rFonts w:hint="eastAsia" w:ascii="宋体" w:hAnsi="宋体" w:cs="宋体"/>
                <w:kern w:val="0"/>
              </w:rPr>
              <w:t>符合询比文件“第二部分 三、询比申请人资格要求”规定</w:t>
            </w:r>
          </w:p>
        </w:tc>
      </w:tr>
      <w:tr w14:paraId="1ADB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restart"/>
            <w:vAlign w:val="center"/>
          </w:tcPr>
          <w:p w14:paraId="6ED9C458">
            <w:pPr>
              <w:spacing w:line="400" w:lineRule="exact"/>
              <w:jc w:val="center"/>
              <w:rPr>
                <w:rFonts w:hint="eastAsia" w:ascii="宋体" w:hAnsi="宋体" w:cs="宋体"/>
              </w:rPr>
            </w:pPr>
            <w:r>
              <w:rPr>
                <w:rFonts w:hint="eastAsia" w:ascii="宋体" w:hAnsi="宋体" w:cs="宋体"/>
                <w:kern w:val="0"/>
              </w:rPr>
              <w:t>2.1.3</w:t>
            </w:r>
          </w:p>
        </w:tc>
        <w:tc>
          <w:tcPr>
            <w:tcW w:w="1415" w:type="dxa"/>
            <w:vMerge w:val="restart"/>
            <w:textDirection w:val="tbRlV"/>
            <w:vAlign w:val="center"/>
          </w:tcPr>
          <w:p w14:paraId="073BBBB9">
            <w:pPr>
              <w:spacing w:line="400" w:lineRule="exact"/>
              <w:ind w:left="113" w:right="113"/>
              <w:jc w:val="center"/>
              <w:rPr>
                <w:rFonts w:hint="eastAsia" w:ascii="宋体" w:hAnsi="宋体" w:cs="宋体"/>
              </w:rPr>
            </w:pPr>
            <w:r>
              <w:rPr>
                <w:rFonts w:hint="eastAsia" w:ascii="宋体" w:hAnsi="宋体" w:cs="宋体"/>
                <w:kern w:val="0"/>
              </w:rPr>
              <w:t>响应性评审标准</w:t>
            </w:r>
          </w:p>
        </w:tc>
        <w:tc>
          <w:tcPr>
            <w:tcW w:w="1753" w:type="dxa"/>
            <w:gridSpan w:val="2"/>
            <w:vAlign w:val="center"/>
          </w:tcPr>
          <w:p w14:paraId="73A3D7F6">
            <w:pPr>
              <w:spacing w:line="360" w:lineRule="auto"/>
              <w:jc w:val="center"/>
              <w:rPr>
                <w:rFonts w:hint="eastAsia" w:ascii="宋体" w:hAnsi="宋体" w:cs="宋体"/>
                <w:kern w:val="0"/>
              </w:rPr>
            </w:pPr>
            <w:r>
              <w:rPr>
                <w:rFonts w:hint="eastAsia" w:ascii="宋体" w:hAnsi="宋体" w:cs="宋体"/>
                <w:kern w:val="0"/>
              </w:rPr>
              <w:t>询比内容</w:t>
            </w:r>
          </w:p>
        </w:tc>
        <w:tc>
          <w:tcPr>
            <w:tcW w:w="5476" w:type="dxa"/>
            <w:vAlign w:val="center"/>
          </w:tcPr>
          <w:p w14:paraId="543CA7ED">
            <w:pPr>
              <w:spacing w:after="62" w:afterLines="20" w:line="360" w:lineRule="auto"/>
              <w:ind w:firstLine="420" w:firstLineChars="200"/>
              <w:rPr>
                <w:rFonts w:hint="eastAsia" w:ascii="宋体" w:hAnsi="宋体" w:cs="宋体"/>
                <w:kern w:val="0"/>
              </w:rPr>
            </w:pPr>
            <w:r>
              <w:rPr>
                <w:rFonts w:hint="eastAsia" w:ascii="宋体" w:hAnsi="宋体" w:cs="宋体"/>
                <w:kern w:val="0"/>
              </w:rPr>
              <w:t>符合第二部分询比须知“2.1</w:t>
            </w:r>
            <w:r>
              <w:rPr>
                <w:rFonts w:hint="eastAsia" w:ascii="宋体" w:hAnsi="宋体" w:cs="宋体"/>
              </w:rPr>
              <w:t>项目范围及内容</w:t>
            </w:r>
            <w:r>
              <w:rPr>
                <w:rFonts w:hint="eastAsia" w:ascii="宋体" w:hAnsi="宋体" w:cs="宋体"/>
                <w:kern w:val="0"/>
              </w:rPr>
              <w:t>”之规定。</w:t>
            </w:r>
          </w:p>
        </w:tc>
      </w:tr>
      <w:tr w14:paraId="7196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2C6B1D55">
            <w:pPr>
              <w:spacing w:line="400" w:lineRule="exact"/>
              <w:jc w:val="center"/>
              <w:rPr>
                <w:rFonts w:hint="eastAsia" w:ascii="宋体" w:hAnsi="宋体" w:cs="宋体"/>
                <w:kern w:val="0"/>
              </w:rPr>
            </w:pPr>
          </w:p>
        </w:tc>
        <w:tc>
          <w:tcPr>
            <w:tcW w:w="1415" w:type="dxa"/>
            <w:vMerge w:val="continue"/>
            <w:textDirection w:val="tbRlV"/>
            <w:vAlign w:val="center"/>
          </w:tcPr>
          <w:p w14:paraId="7AA09929">
            <w:pPr>
              <w:spacing w:line="400" w:lineRule="exact"/>
              <w:ind w:left="113" w:right="113"/>
              <w:jc w:val="center"/>
              <w:rPr>
                <w:rFonts w:hint="eastAsia" w:ascii="宋体" w:hAnsi="宋体" w:cs="宋体"/>
                <w:kern w:val="0"/>
              </w:rPr>
            </w:pPr>
          </w:p>
        </w:tc>
        <w:tc>
          <w:tcPr>
            <w:tcW w:w="1753" w:type="dxa"/>
            <w:gridSpan w:val="2"/>
            <w:vAlign w:val="center"/>
          </w:tcPr>
          <w:p w14:paraId="3716972C">
            <w:pPr>
              <w:spacing w:line="360" w:lineRule="auto"/>
              <w:jc w:val="center"/>
              <w:rPr>
                <w:rFonts w:hint="eastAsia" w:ascii="宋体" w:hAnsi="宋体" w:cs="宋体"/>
                <w:kern w:val="0"/>
              </w:rPr>
            </w:pPr>
            <w:r>
              <w:rPr>
                <w:rFonts w:hint="eastAsia" w:ascii="宋体" w:hAnsi="宋体" w:cs="宋体"/>
              </w:rPr>
              <w:t>服务期</w:t>
            </w:r>
          </w:p>
        </w:tc>
        <w:tc>
          <w:tcPr>
            <w:tcW w:w="5476" w:type="dxa"/>
            <w:vAlign w:val="center"/>
          </w:tcPr>
          <w:p w14:paraId="27B5F504">
            <w:pPr>
              <w:spacing w:after="62" w:afterLines="20" w:line="360" w:lineRule="auto"/>
              <w:ind w:firstLine="420" w:firstLineChars="200"/>
              <w:rPr>
                <w:rFonts w:hint="eastAsia" w:ascii="宋体" w:hAnsi="宋体" w:cs="宋体"/>
                <w:kern w:val="0"/>
              </w:rPr>
            </w:pPr>
            <w:r>
              <w:rPr>
                <w:rFonts w:hint="eastAsia" w:ascii="宋体" w:hAnsi="宋体" w:cs="宋体"/>
                <w:kern w:val="0"/>
              </w:rPr>
              <w:t>符合第二部分询比须知“2.3服务期”之规定。</w:t>
            </w:r>
          </w:p>
        </w:tc>
      </w:tr>
      <w:tr w14:paraId="69AE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5026AA73">
            <w:pPr>
              <w:spacing w:line="400" w:lineRule="exact"/>
              <w:jc w:val="center"/>
              <w:rPr>
                <w:rFonts w:hint="eastAsia" w:ascii="宋体" w:hAnsi="宋体" w:cs="宋体"/>
                <w:kern w:val="0"/>
              </w:rPr>
            </w:pPr>
          </w:p>
        </w:tc>
        <w:tc>
          <w:tcPr>
            <w:tcW w:w="1415" w:type="dxa"/>
            <w:vMerge w:val="continue"/>
            <w:textDirection w:val="tbRlV"/>
            <w:vAlign w:val="center"/>
          </w:tcPr>
          <w:p w14:paraId="2F9C1818">
            <w:pPr>
              <w:spacing w:line="400" w:lineRule="exact"/>
              <w:ind w:left="113" w:right="113"/>
              <w:jc w:val="center"/>
              <w:rPr>
                <w:rFonts w:hint="eastAsia" w:ascii="宋体" w:hAnsi="宋体" w:cs="宋体"/>
                <w:kern w:val="0"/>
              </w:rPr>
            </w:pPr>
          </w:p>
        </w:tc>
        <w:tc>
          <w:tcPr>
            <w:tcW w:w="1753" w:type="dxa"/>
            <w:gridSpan w:val="2"/>
            <w:vAlign w:val="center"/>
          </w:tcPr>
          <w:p w14:paraId="0E2A1506">
            <w:pPr>
              <w:spacing w:line="360" w:lineRule="auto"/>
              <w:jc w:val="center"/>
              <w:rPr>
                <w:rFonts w:hint="eastAsia" w:ascii="宋体" w:hAnsi="宋体" w:cs="宋体"/>
                <w:kern w:val="0"/>
              </w:rPr>
            </w:pPr>
            <w:r>
              <w:rPr>
                <w:rFonts w:hint="eastAsia" w:ascii="宋体" w:hAnsi="宋体" w:cs="宋体"/>
                <w:kern w:val="0"/>
              </w:rPr>
              <w:t>询比有效期</w:t>
            </w:r>
          </w:p>
        </w:tc>
        <w:tc>
          <w:tcPr>
            <w:tcW w:w="5476" w:type="dxa"/>
            <w:vAlign w:val="center"/>
          </w:tcPr>
          <w:p w14:paraId="2273E6B3">
            <w:pPr>
              <w:spacing w:after="62" w:afterLines="20" w:line="360" w:lineRule="auto"/>
              <w:ind w:firstLine="420" w:firstLineChars="200"/>
              <w:rPr>
                <w:rFonts w:hint="eastAsia" w:ascii="宋体" w:hAnsi="宋体" w:cs="宋体"/>
                <w:kern w:val="0"/>
              </w:rPr>
            </w:pPr>
            <w:r>
              <w:rPr>
                <w:rFonts w:hint="eastAsia" w:ascii="宋体" w:hAnsi="宋体" w:cs="宋体"/>
                <w:kern w:val="0"/>
              </w:rPr>
              <w:t>符合第二部分询比须知“六、询比有效期”之规定。</w:t>
            </w:r>
          </w:p>
        </w:tc>
      </w:tr>
      <w:tr w14:paraId="2002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3CDBBFFA">
            <w:pPr>
              <w:spacing w:line="400" w:lineRule="exact"/>
              <w:jc w:val="center"/>
              <w:rPr>
                <w:rFonts w:hint="eastAsia" w:ascii="宋体" w:hAnsi="宋体" w:cs="宋体"/>
                <w:kern w:val="0"/>
              </w:rPr>
            </w:pPr>
          </w:p>
        </w:tc>
        <w:tc>
          <w:tcPr>
            <w:tcW w:w="1415" w:type="dxa"/>
            <w:vMerge w:val="continue"/>
            <w:textDirection w:val="tbRlV"/>
            <w:vAlign w:val="center"/>
          </w:tcPr>
          <w:p w14:paraId="0A1F916C">
            <w:pPr>
              <w:spacing w:line="400" w:lineRule="exact"/>
              <w:ind w:left="113" w:right="113"/>
              <w:jc w:val="center"/>
              <w:rPr>
                <w:rFonts w:hint="eastAsia" w:ascii="宋体" w:hAnsi="宋体" w:cs="宋体"/>
                <w:kern w:val="0"/>
              </w:rPr>
            </w:pPr>
          </w:p>
        </w:tc>
        <w:tc>
          <w:tcPr>
            <w:tcW w:w="1753" w:type="dxa"/>
            <w:gridSpan w:val="2"/>
            <w:vAlign w:val="center"/>
          </w:tcPr>
          <w:p w14:paraId="7CF3D996">
            <w:pPr>
              <w:spacing w:line="360" w:lineRule="auto"/>
              <w:jc w:val="center"/>
              <w:rPr>
                <w:rFonts w:hint="eastAsia" w:ascii="宋体" w:hAnsi="宋体" w:cs="宋体"/>
                <w:kern w:val="0"/>
              </w:rPr>
            </w:pPr>
            <w:r>
              <w:rPr>
                <w:rFonts w:hint="eastAsia"/>
              </w:rPr>
              <w:t>响应报价</w:t>
            </w:r>
          </w:p>
        </w:tc>
        <w:tc>
          <w:tcPr>
            <w:tcW w:w="5476" w:type="dxa"/>
            <w:vAlign w:val="center"/>
          </w:tcPr>
          <w:p w14:paraId="65D2E5D2">
            <w:pPr>
              <w:spacing w:after="62" w:afterLines="20" w:line="360" w:lineRule="auto"/>
              <w:ind w:firstLine="420" w:firstLineChars="200"/>
              <w:rPr>
                <w:rFonts w:hint="eastAsia" w:ascii="宋体" w:hAnsi="宋体" w:cs="宋体"/>
                <w:kern w:val="0"/>
              </w:rPr>
            </w:pPr>
            <w:r>
              <w:rPr>
                <w:rFonts w:hint="eastAsia"/>
              </w:rPr>
              <w:t>响应报价均不得超过采购人设置的询比报价最高限价否则作否决竞选处理。</w:t>
            </w:r>
          </w:p>
        </w:tc>
      </w:tr>
      <w:tr w14:paraId="659B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0EB81D30">
            <w:pPr>
              <w:spacing w:line="400" w:lineRule="exact"/>
              <w:jc w:val="center"/>
              <w:rPr>
                <w:rFonts w:hint="eastAsia" w:ascii="宋体" w:hAnsi="宋体" w:cs="宋体"/>
              </w:rPr>
            </w:pPr>
          </w:p>
        </w:tc>
        <w:tc>
          <w:tcPr>
            <w:tcW w:w="1415" w:type="dxa"/>
            <w:vMerge w:val="continue"/>
            <w:textDirection w:val="tbRlV"/>
            <w:vAlign w:val="center"/>
          </w:tcPr>
          <w:p w14:paraId="48446BBD">
            <w:pPr>
              <w:spacing w:line="400" w:lineRule="exact"/>
              <w:ind w:left="113" w:right="113"/>
              <w:jc w:val="center"/>
              <w:rPr>
                <w:rFonts w:hint="eastAsia" w:ascii="宋体" w:hAnsi="宋体" w:cs="宋体"/>
              </w:rPr>
            </w:pPr>
          </w:p>
        </w:tc>
        <w:tc>
          <w:tcPr>
            <w:tcW w:w="1753" w:type="dxa"/>
            <w:gridSpan w:val="2"/>
            <w:vAlign w:val="center"/>
          </w:tcPr>
          <w:p w14:paraId="03E61F6F">
            <w:pPr>
              <w:spacing w:line="360" w:lineRule="auto"/>
              <w:jc w:val="center"/>
              <w:rPr>
                <w:rFonts w:hint="eastAsia" w:ascii="宋体" w:hAnsi="宋体" w:cs="宋体"/>
                <w:kern w:val="0"/>
              </w:rPr>
            </w:pPr>
            <w:r>
              <w:rPr>
                <w:rFonts w:hint="eastAsia" w:ascii="宋体" w:hAnsi="宋体" w:cs="宋体"/>
                <w:kern w:val="0"/>
              </w:rPr>
              <w:t>权利义务</w:t>
            </w:r>
          </w:p>
        </w:tc>
        <w:tc>
          <w:tcPr>
            <w:tcW w:w="5476" w:type="dxa"/>
            <w:vAlign w:val="center"/>
          </w:tcPr>
          <w:p w14:paraId="2E509CC6">
            <w:pPr>
              <w:spacing w:after="62" w:afterLines="20" w:line="360" w:lineRule="auto"/>
              <w:ind w:firstLine="420" w:firstLineChars="200"/>
              <w:rPr>
                <w:rFonts w:hint="eastAsia" w:ascii="宋体" w:hAnsi="宋体" w:cs="宋体"/>
                <w:kern w:val="0"/>
              </w:rPr>
            </w:pPr>
            <w:r>
              <w:rPr>
                <w:rFonts w:hint="eastAsia" w:ascii="宋体" w:hAnsi="宋体" w:cs="宋体"/>
                <w:kern w:val="0"/>
              </w:rPr>
              <w:t>符合</w:t>
            </w:r>
            <w:r>
              <w:rPr>
                <w:rFonts w:hint="eastAsia" w:ascii="宋体" w:cs="宋体"/>
                <w:kern w:val="0"/>
              </w:rPr>
              <w:t>“</w:t>
            </w:r>
            <w:r>
              <w:rPr>
                <w:rFonts w:hint="eastAsia" w:ascii="宋体" w:hAnsi="宋体" w:cs="宋体"/>
                <w:kern w:val="0"/>
              </w:rPr>
              <w:t>合同条款</w:t>
            </w:r>
            <w:r>
              <w:rPr>
                <w:rFonts w:hint="eastAsia" w:ascii="宋体" w:cs="宋体"/>
                <w:kern w:val="0"/>
              </w:rPr>
              <w:t>”</w:t>
            </w:r>
            <w:r>
              <w:rPr>
                <w:rFonts w:hint="eastAsia" w:ascii="宋体" w:hAnsi="宋体" w:cs="宋体"/>
                <w:kern w:val="0"/>
              </w:rPr>
              <w:t>规定，响应文件不应附有采购人不能接受的条件。</w:t>
            </w:r>
          </w:p>
        </w:tc>
      </w:tr>
      <w:tr w14:paraId="7B6E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0A72CB0A">
            <w:pPr>
              <w:spacing w:line="400" w:lineRule="exact"/>
              <w:jc w:val="center"/>
              <w:rPr>
                <w:rFonts w:hint="eastAsia" w:ascii="宋体" w:hAnsi="宋体" w:cs="宋体"/>
                <w:kern w:val="0"/>
              </w:rPr>
            </w:pPr>
          </w:p>
        </w:tc>
        <w:tc>
          <w:tcPr>
            <w:tcW w:w="1415" w:type="dxa"/>
            <w:vMerge w:val="continue"/>
            <w:textDirection w:val="tbRlV"/>
            <w:vAlign w:val="center"/>
          </w:tcPr>
          <w:p w14:paraId="70E3FA59">
            <w:pPr>
              <w:spacing w:line="400" w:lineRule="exact"/>
              <w:ind w:left="113" w:right="113"/>
              <w:jc w:val="center"/>
              <w:rPr>
                <w:rFonts w:hint="eastAsia" w:ascii="宋体" w:hAnsi="宋体" w:cs="宋体"/>
                <w:kern w:val="0"/>
              </w:rPr>
            </w:pPr>
          </w:p>
        </w:tc>
        <w:tc>
          <w:tcPr>
            <w:tcW w:w="1753" w:type="dxa"/>
            <w:gridSpan w:val="2"/>
            <w:vAlign w:val="center"/>
          </w:tcPr>
          <w:p w14:paraId="75081F9D">
            <w:pPr>
              <w:spacing w:line="360" w:lineRule="auto"/>
              <w:jc w:val="center"/>
              <w:rPr>
                <w:rFonts w:hint="eastAsia" w:ascii="宋体" w:hAnsi="宋体" w:cs="宋体"/>
                <w:kern w:val="0"/>
              </w:rPr>
            </w:pPr>
            <w:r>
              <w:rPr>
                <w:rFonts w:hint="eastAsia" w:ascii="宋体" w:hAnsi="宋体" w:cs="宋体"/>
                <w:kern w:val="0"/>
              </w:rPr>
              <w:t>实质性要求</w:t>
            </w:r>
          </w:p>
        </w:tc>
        <w:tc>
          <w:tcPr>
            <w:tcW w:w="5476" w:type="dxa"/>
            <w:vAlign w:val="center"/>
          </w:tcPr>
          <w:p w14:paraId="67A54C86">
            <w:pPr>
              <w:spacing w:after="62" w:afterLines="20" w:line="360" w:lineRule="auto"/>
              <w:ind w:firstLine="420" w:firstLineChars="200"/>
              <w:rPr>
                <w:rFonts w:ascii="宋体"/>
                <w:kern w:val="0"/>
              </w:rPr>
            </w:pPr>
            <w:r>
              <w:rPr>
                <w:rFonts w:hint="eastAsia" w:ascii="宋体" w:hAnsi="宋体" w:cs="宋体"/>
                <w:kern w:val="0"/>
              </w:rPr>
              <w:t>本次参选不得有串通竞选、弄虚作假等其他违反招竞选相关法律、法规行为。</w:t>
            </w:r>
          </w:p>
          <w:p w14:paraId="4B75A604">
            <w:pPr>
              <w:spacing w:after="62" w:afterLines="20" w:line="360" w:lineRule="auto"/>
              <w:ind w:firstLine="420" w:firstLineChars="200"/>
              <w:rPr>
                <w:rFonts w:hint="eastAsia" w:ascii="宋体" w:hAnsi="宋体" w:cs="宋体"/>
                <w:kern w:val="0"/>
              </w:rPr>
            </w:pPr>
            <w:r>
              <w:rPr>
                <w:rFonts w:hint="eastAsia" w:ascii="宋体" w:hAnsi="宋体" w:cs="宋体"/>
                <w:kern w:val="0"/>
              </w:rPr>
              <w:t>按评标委员会要求澄清、说明或补正。</w:t>
            </w:r>
          </w:p>
        </w:tc>
      </w:tr>
      <w:tr w14:paraId="4041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5" w:type="dxa"/>
            <w:gridSpan w:val="2"/>
            <w:vAlign w:val="center"/>
          </w:tcPr>
          <w:p w14:paraId="658F4E2C">
            <w:pPr>
              <w:spacing w:line="400" w:lineRule="exact"/>
              <w:ind w:firstLine="525" w:firstLineChars="250"/>
              <w:rPr>
                <w:rFonts w:hint="eastAsia" w:ascii="宋体" w:hAnsi="宋体" w:cs="宋体"/>
                <w:kern w:val="0"/>
              </w:rPr>
            </w:pPr>
            <w:r>
              <w:rPr>
                <w:rFonts w:hint="eastAsia" w:ascii="宋体" w:hAnsi="宋体" w:cs="宋体"/>
                <w:kern w:val="0"/>
              </w:rPr>
              <w:t>2.2.1</w:t>
            </w:r>
          </w:p>
        </w:tc>
        <w:tc>
          <w:tcPr>
            <w:tcW w:w="1753" w:type="dxa"/>
            <w:gridSpan w:val="2"/>
            <w:vAlign w:val="center"/>
          </w:tcPr>
          <w:p w14:paraId="45B6D29D">
            <w:pPr>
              <w:tabs>
                <w:tab w:val="left" w:pos="1875"/>
              </w:tabs>
              <w:spacing w:line="400" w:lineRule="exact"/>
              <w:jc w:val="center"/>
              <w:rPr>
                <w:rFonts w:hint="eastAsia" w:ascii="宋体" w:hAnsi="宋体" w:cs="宋体"/>
                <w:kern w:val="0"/>
              </w:rPr>
            </w:pPr>
            <w:r>
              <w:rPr>
                <w:rFonts w:hint="eastAsia" w:ascii="宋体" w:hAnsi="宋体" w:cs="宋体"/>
                <w:kern w:val="0"/>
              </w:rPr>
              <w:t>分值构成</w:t>
            </w:r>
          </w:p>
          <w:p w14:paraId="11BAA8B4">
            <w:pPr>
              <w:tabs>
                <w:tab w:val="left" w:pos="1875"/>
              </w:tabs>
              <w:spacing w:line="400" w:lineRule="exact"/>
              <w:jc w:val="center"/>
              <w:rPr>
                <w:rFonts w:hint="eastAsia" w:ascii="宋体" w:hAnsi="宋体" w:cs="宋体"/>
                <w:kern w:val="0"/>
              </w:rPr>
            </w:pPr>
            <w:r>
              <w:rPr>
                <w:rFonts w:hint="eastAsia" w:ascii="宋体" w:hAnsi="宋体" w:cs="宋体"/>
                <w:kern w:val="0"/>
              </w:rPr>
              <w:t>(总分1OO分)</w:t>
            </w:r>
          </w:p>
        </w:tc>
        <w:tc>
          <w:tcPr>
            <w:tcW w:w="5476" w:type="dxa"/>
            <w:vAlign w:val="center"/>
          </w:tcPr>
          <w:p w14:paraId="40E6C8CC">
            <w:pPr>
              <w:snapToGrid w:val="0"/>
              <w:spacing w:line="400" w:lineRule="exact"/>
              <w:ind w:firstLine="315" w:firstLineChars="150"/>
            </w:pPr>
            <w:r>
              <w:rPr>
                <w:rFonts w:hint="eastAsia"/>
              </w:rPr>
              <w:t>（1）响应报价：30分；</w:t>
            </w:r>
          </w:p>
          <w:p w14:paraId="70B217EB">
            <w:pPr>
              <w:snapToGrid w:val="0"/>
              <w:spacing w:line="400" w:lineRule="exact"/>
              <w:ind w:firstLine="315" w:firstLineChars="150"/>
            </w:pPr>
            <w:r>
              <w:rPr>
                <w:rFonts w:hint="eastAsia"/>
              </w:rPr>
              <w:t>（2）技术部分：50分；</w:t>
            </w:r>
          </w:p>
          <w:p w14:paraId="7B4C7C17">
            <w:pPr>
              <w:snapToGrid w:val="0"/>
              <w:spacing w:line="400" w:lineRule="exact"/>
              <w:ind w:firstLine="315" w:firstLineChars="150"/>
            </w:pPr>
            <w:r>
              <w:rPr>
                <w:rFonts w:hint="eastAsia"/>
              </w:rPr>
              <w:t>（3）商务部分：20分；</w:t>
            </w:r>
          </w:p>
        </w:tc>
      </w:tr>
      <w:tr w14:paraId="4A79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235" w:type="dxa"/>
            <w:gridSpan w:val="2"/>
            <w:vAlign w:val="center"/>
          </w:tcPr>
          <w:p w14:paraId="2D55F20A">
            <w:pPr>
              <w:spacing w:line="400" w:lineRule="exact"/>
              <w:ind w:firstLine="420" w:firstLineChars="200"/>
              <w:rPr>
                <w:rFonts w:hint="eastAsia" w:ascii="宋体" w:hAnsi="宋体" w:cs="宋体"/>
                <w:kern w:val="0"/>
              </w:rPr>
            </w:pPr>
            <w:r>
              <w:rPr>
                <w:rFonts w:hint="eastAsia" w:ascii="宋体" w:hAnsi="宋体" w:cs="宋体"/>
                <w:kern w:val="0"/>
              </w:rPr>
              <w:t>2.2.2</w:t>
            </w:r>
          </w:p>
        </w:tc>
        <w:tc>
          <w:tcPr>
            <w:tcW w:w="1753" w:type="dxa"/>
            <w:gridSpan w:val="2"/>
            <w:vAlign w:val="center"/>
          </w:tcPr>
          <w:p w14:paraId="55333D67">
            <w:pPr>
              <w:spacing w:line="400" w:lineRule="exact"/>
              <w:jc w:val="center"/>
              <w:rPr>
                <w:rFonts w:hint="eastAsia" w:ascii="宋体" w:hAnsi="宋体" w:cs="宋体"/>
                <w:kern w:val="0"/>
              </w:rPr>
            </w:pPr>
            <w:r>
              <w:rPr>
                <w:rFonts w:hint="eastAsia" w:ascii="宋体" w:hAnsi="宋体" w:cs="宋体"/>
                <w:kern w:val="0"/>
              </w:rPr>
              <w:t>评审基准价及偏差率计算方法</w:t>
            </w:r>
          </w:p>
        </w:tc>
        <w:tc>
          <w:tcPr>
            <w:tcW w:w="5476" w:type="dxa"/>
          </w:tcPr>
          <w:p w14:paraId="29C7751B">
            <w:pPr>
              <w:pStyle w:val="15"/>
              <w:numPr>
                <w:ilvl w:val="0"/>
                <w:numId w:val="1"/>
              </w:numPr>
              <w:spacing w:after="0" w:line="400" w:lineRule="exact"/>
              <w:ind w:left="0" w:leftChars="0" w:firstLine="420" w:firstLineChars="200"/>
              <w:rPr>
                <w:rFonts w:hint="eastAsia" w:ascii="宋体" w:hAnsi="宋体" w:cs="宋体"/>
                <w:kern w:val="0"/>
                <w:sz w:val="21"/>
              </w:rPr>
            </w:pPr>
            <w:r>
              <w:rPr>
                <w:rFonts w:hint="eastAsia" w:ascii="宋体" w:hAnsi="宋体" w:cs="宋体"/>
                <w:kern w:val="0"/>
                <w:sz w:val="21"/>
              </w:rPr>
              <w:t>评审基准价计算方法：所有初步评审合格的询比申请人（响应报价高于最高限价的除外）的响应报价中去掉六分之一（不能整除的按小数点前整数取整，不足六家报价则不去掉）的最低价和相同家数的最高价后的算术平均值。</w:t>
            </w:r>
          </w:p>
          <w:p w14:paraId="63E45ABB">
            <w:pPr>
              <w:pStyle w:val="15"/>
              <w:numPr>
                <w:ilvl w:val="0"/>
                <w:numId w:val="1"/>
              </w:numPr>
              <w:spacing w:after="0" w:line="400" w:lineRule="exact"/>
              <w:ind w:left="0" w:leftChars="0" w:firstLine="420" w:firstLineChars="200"/>
              <w:rPr>
                <w:rFonts w:hint="eastAsia" w:ascii="宋体" w:hAnsi="宋体" w:cs="宋体"/>
                <w:kern w:val="0"/>
                <w:sz w:val="21"/>
              </w:rPr>
            </w:pPr>
            <w:r>
              <w:rPr>
                <w:rFonts w:hint="eastAsia" w:ascii="宋体" w:hAnsi="宋体" w:cs="宋体"/>
                <w:kern w:val="0"/>
                <w:sz w:val="21"/>
              </w:rPr>
              <w:t>偏差率计算方法：偏差率=（响应报价-评审基准价）/评审基准价*100%。</w:t>
            </w:r>
          </w:p>
        </w:tc>
      </w:tr>
      <w:tr w14:paraId="1F4E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3A0FEE98">
            <w:pPr>
              <w:snapToGrid w:val="0"/>
              <w:spacing w:line="400" w:lineRule="exact"/>
              <w:ind w:left="105" w:hanging="105" w:hangingChars="50"/>
              <w:jc w:val="center"/>
              <w:rPr>
                <w:rFonts w:hint="eastAsia" w:ascii="宋体" w:hAnsi="宋体" w:cs="宋体"/>
                <w:kern w:val="0"/>
              </w:rPr>
            </w:pPr>
            <w:r>
              <w:rPr>
                <w:rFonts w:hint="eastAsia" w:ascii="宋体" w:hAnsi="宋体" w:cs="宋体"/>
                <w:kern w:val="0"/>
              </w:rPr>
              <w:t>2.2.3</w:t>
            </w:r>
          </w:p>
          <w:p w14:paraId="10411C9B">
            <w:pPr>
              <w:spacing w:line="400" w:lineRule="exact"/>
              <w:jc w:val="center"/>
              <w:rPr>
                <w:rFonts w:hint="eastAsia" w:ascii="宋体" w:hAnsi="宋体" w:cs="宋体"/>
                <w:kern w:val="0"/>
              </w:rPr>
            </w:pPr>
            <w:r>
              <w:rPr>
                <w:rFonts w:hint="eastAsia" w:ascii="宋体" w:hAnsi="宋体" w:cs="宋体"/>
                <w:kern w:val="0"/>
              </w:rPr>
              <w:t>（1）</w:t>
            </w:r>
          </w:p>
        </w:tc>
        <w:tc>
          <w:tcPr>
            <w:tcW w:w="1415" w:type="dxa"/>
            <w:vAlign w:val="center"/>
          </w:tcPr>
          <w:p w14:paraId="2CF3228D">
            <w:pPr>
              <w:spacing w:line="400" w:lineRule="exact"/>
              <w:jc w:val="center"/>
              <w:rPr>
                <w:rFonts w:hint="eastAsia" w:ascii="宋体" w:hAnsi="宋体" w:cs="宋体"/>
                <w:kern w:val="0"/>
              </w:rPr>
            </w:pPr>
            <w:r>
              <w:rPr>
                <w:rFonts w:hint="eastAsia" w:ascii="宋体" w:hAnsi="宋体" w:cs="宋体"/>
                <w:kern w:val="0"/>
              </w:rPr>
              <w:t>响应报价</w:t>
            </w:r>
          </w:p>
          <w:p w14:paraId="06815690">
            <w:pPr>
              <w:spacing w:line="400" w:lineRule="exact"/>
              <w:jc w:val="center"/>
              <w:rPr>
                <w:rFonts w:hint="eastAsia" w:ascii="宋体" w:hAnsi="宋体" w:cs="宋体"/>
                <w:kern w:val="0"/>
              </w:rPr>
            </w:pPr>
            <w:r>
              <w:rPr>
                <w:rFonts w:hint="eastAsia" w:ascii="宋体" w:hAnsi="宋体" w:cs="宋体"/>
                <w:kern w:val="0"/>
              </w:rPr>
              <w:t>评分标准   （</w:t>
            </w:r>
            <w:r>
              <w:rPr>
                <w:rFonts w:hint="eastAsia" w:ascii="宋体" w:hAnsi="宋体" w:cs="宋体"/>
                <w:kern w:val="0"/>
                <w:u w:val="single"/>
              </w:rPr>
              <w:t>30</w:t>
            </w:r>
            <w:r>
              <w:rPr>
                <w:rFonts w:hint="eastAsia" w:ascii="宋体" w:hAnsi="宋体" w:cs="宋体"/>
                <w:kern w:val="0"/>
              </w:rPr>
              <w:t>分）</w:t>
            </w:r>
          </w:p>
        </w:tc>
        <w:tc>
          <w:tcPr>
            <w:tcW w:w="1753" w:type="dxa"/>
            <w:gridSpan w:val="2"/>
            <w:vAlign w:val="center"/>
          </w:tcPr>
          <w:p w14:paraId="2AE295E6">
            <w:pPr>
              <w:spacing w:line="400" w:lineRule="exact"/>
              <w:jc w:val="center"/>
              <w:rPr>
                <w:rFonts w:hint="eastAsia" w:ascii="宋体" w:hAnsi="宋体" w:cs="宋体"/>
                <w:kern w:val="0"/>
              </w:rPr>
            </w:pPr>
            <w:r>
              <w:rPr>
                <w:rFonts w:hint="eastAsia" w:ascii="宋体" w:hAnsi="宋体" w:cs="宋体"/>
                <w:kern w:val="0"/>
              </w:rPr>
              <w:t>响应报价</w:t>
            </w:r>
          </w:p>
        </w:tc>
        <w:tc>
          <w:tcPr>
            <w:tcW w:w="5476" w:type="dxa"/>
          </w:tcPr>
          <w:p w14:paraId="519D6C40">
            <w:pPr>
              <w:pStyle w:val="15"/>
              <w:spacing w:after="0" w:line="400" w:lineRule="exact"/>
              <w:ind w:left="0" w:leftChars="0" w:firstLine="420" w:firstLineChars="200"/>
              <w:rPr>
                <w:rFonts w:hint="eastAsia" w:ascii="宋体" w:hAnsi="宋体" w:cs="宋体"/>
                <w:kern w:val="0"/>
                <w:sz w:val="21"/>
              </w:rPr>
            </w:pPr>
            <w:r>
              <w:rPr>
                <w:rFonts w:hint="eastAsia" w:ascii="宋体" w:hAnsi="宋体" w:cs="宋体"/>
                <w:sz w:val="21"/>
              </w:rPr>
              <w:t>所有通过初步评审合格询比申请人的响应报价与评审基准价相比，每增加1%在</w:t>
            </w:r>
            <w:r>
              <w:rPr>
                <w:rFonts w:hint="eastAsia" w:ascii="宋体" w:hAnsi="宋体" w:cs="宋体"/>
                <w:sz w:val="21"/>
                <w:u w:val="single"/>
              </w:rPr>
              <w:t>30</w:t>
            </w:r>
            <w:r>
              <w:rPr>
                <w:rFonts w:hint="eastAsia" w:ascii="宋体" w:hAnsi="宋体" w:cs="宋体"/>
                <w:sz w:val="21"/>
              </w:rPr>
              <w:t>分的基础上扣0.5分，扣完为止；每减少1%在</w:t>
            </w:r>
            <w:r>
              <w:rPr>
                <w:rFonts w:hint="eastAsia" w:ascii="宋体" w:hAnsi="宋体" w:cs="宋体"/>
                <w:sz w:val="21"/>
                <w:u w:val="single"/>
              </w:rPr>
              <w:t>30</w:t>
            </w:r>
            <w:r>
              <w:rPr>
                <w:rFonts w:hint="eastAsia" w:ascii="宋体" w:hAnsi="宋体" w:cs="宋体"/>
                <w:sz w:val="21"/>
              </w:rPr>
              <w:t>分的基础上扣0.25分，扣完为止。（按插入法计算得分；以上计算取小数点后两位，第三位四舍五入。）</w:t>
            </w:r>
          </w:p>
        </w:tc>
      </w:tr>
      <w:tr w14:paraId="5A55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jc w:val="center"/>
        </w:trPr>
        <w:tc>
          <w:tcPr>
            <w:tcW w:w="820" w:type="dxa"/>
            <w:vMerge w:val="restart"/>
            <w:vAlign w:val="center"/>
          </w:tcPr>
          <w:p w14:paraId="27B50424">
            <w:pPr>
              <w:snapToGrid w:val="0"/>
              <w:spacing w:line="400" w:lineRule="exact"/>
              <w:jc w:val="center"/>
              <w:rPr>
                <w:rFonts w:hint="eastAsia" w:ascii="宋体" w:hAnsi="宋体" w:cs="宋体"/>
                <w:kern w:val="0"/>
              </w:rPr>
            </w:pPr>
            <w:r>
              <w:rPr>
                <w:rFonts w:hint="eastAsia" w:ascii="宋体" w:hAnsi="宋体" w:cs="宋体"/>
                <w:kern w:val="0"/>
              </w:rPr>
              <w:t>2.2.3</w:t>
            </w:r>
          </w:p>
          <w:p w14:paraId="666CAEF2">
            <w:pPr>
              <w:snapToGrid w:val="0"/>
              <w:spacing w:line="400" w:lineRule="exact"/>
              <w:jc w:val="center"/>
              <w:rPr>
                <w:rFonts w:hint="eastAsia" w:ascii="宋体" w:hAnsi="宋体" w:cs="宋体"/>
                <w:kern w:val="0"/>
              </w:rPr>
            </w:pPr>
            <w:r>
              <w:rPr>
                <w:rFonts w:hint="eastAsia" w:ascii="宋体" w:hAnsi="宋体" w:cs="宋体"/>
                <w:kern w:val="0"/>
              </w:rPr>
              <w:t>（2）</w:t>
            </w:r>
          </w:p>
        </w:tc>
        <w:tc>
          <w:tcPr>
            <w:tcW w:w="1415" w:type="dxa"/>
            <w:vMerge w:val="restart"/>
            <w:vAlign w:val="center"/>
          </w:tcPr>
          <w:p w14:paraId="728059E5">
            <w:pPr>
              <w:snapToGrid w:val="0"/>
              <w:spacing w:line="400" w:lineRule="exact"/>
              <w:jc w:val="center"/>
              <w:rPr>
                <w:rFonts w:hint="eastAsia" w:ascii="宋体" w:hAnsi="宋体" w:cs="宋体"/>
                <w:kern w:val="0"/>
              </w:rPr>
            </w:pPr>
            <w:r>
              <w:rPr>
                <w:rFonts w:hint="eastAsia" w:ascii="宋体" w:hAnsi="宋体" w:cs="宋体"/>
                <w:kern w:val="0"/>
              </w:rPr>
              <w:t>技术部分</w:t>
            </w:r>
          </w:p>
          <w:p w14:paraId="41059A2E">
            <w:pPr>
              <w:snapToGrid w:val="0"/>
              <w:spacing w:line="400" w:lineRule="exact"/>
              <w:jc w:val="center"/>
              <w:rPr>
                <w:rFonts w:hint="eastAsia" w:ascii="宋体" w:hAnsi="宋体" w:cs="宋体"/>
                <w:kern w:val="0"/>
              </w:rPr>
            </w:pPr>
            <w:r>
              <w:rPr>
                <w:rFonts w:hint="eastAsia" w:ascii="宋体" w:hAnsi="宋体" w:cs="宋体"/>
                <w:kern w:val="0"/>
              </w:rPr>
              <w:t>评分标准</w:t>
            </w:r>
          </w:p>
          <w:p w14:paraId="0EF8B772">
            <w:pPr>
              <w:pStyle w:val="19"/>
              <w:rPr>
                <w:rFonts w:hint="eastAsia" w:ascii="宋体" w:hAnsi="宋体" w:cs="宋体"/>
                <w:sz w:val="21"/>
                <w:szCs w:val="21"/>
                <w:u w:val="none"/>
                <w:lang w:eastAsia="zh-CN"/>
              </w:rPr>
            </w:pPr>
            <w:r>
              <w:rPr>
                <w:rFonts w:hint="eastAsia" w:ascii="宋体" w:hAnsi="宋体" w:cs="宋体"/>
                <w:sz w:val="21"/>
                <w:szCs w:val="21"/>
                <w:u w:val="none"/>
                <w:lang w:eastAsia="zh-CN"/>
              </w:rPr>
              <w:t>（</w:t>
            </w:r>
            <w:r>
              <w:rPr>
                <w:rFonts w:hint="eastAsia" w:ascii="宋体" w:hAnsi="宋体" w:cs="宋体"/>
                <w:sz w:val="21"/>
                <w:szCs w:val="21"/>
                <w:lang w:eastAsia="zh-CN"/>
              </w:rPr>
              <w:t>50</w:t>
            </w:r>
            <w:r>
              <w:rPr>
                <w:rFonts w:hint="eastAsia" w:ascii="宋体" w:hAnsi="宋体" w:cs="宋体"/>
                <w:sz w:val="21"/>
                <w:szCs w:val="21"/>
                <w:u w:val="none"/>
                <w:lang w:eastAsia="zh-CN"/>
              </w:rPr>
              <w:t>分）</w:t>
            </w:r>
          </w:p>
        </w:tc>
        <w:tc>
          <w:tcPr>
            <w:tcW w:w="1753" w:type="dxa"/>
            <w:gridSpan w:val="2"/>
            <w:vMerge w:val="restart"/>
            <w:vAlign w:val="center"/>
          </w:tcPr>
          <w:p w14:paraId="72F43EF3">
            <w:pPr>
              <w:tabs>
                <w:tab w:val="left" w:pos="1875"/>
              </w:tabs>
              <w:spacing w:line="400" w:lineRule="exact"/>
              <w:jc w:val="center"/>
            </w:pPr>
            <w:r>
              <w:rPr>
                <w:rFonts w:hint="eastAsia"/>
              </w:rPr>
              <w:t>服务方案</w:t>
            </w:r>
          </w:p>
        </w:tc>
        <w:tc>
          <w:tcPr>
            <w:tcW w:w="5476" w:type="dxa"/>
            <w:vAlign w:val="center"/>
          </w:tcPr>
          <w:p w14:paraId="3A9AA916">
            <w:pPr>
              <w:wordWrap w:val="0"/>
              <w:spacing w:line="360" w:lineRule="auto"/>
              <w:ind w:firstLine="420" w:firstLineChars="200"/>
              <w:jc w:val="left"/>
            </w:pPr>
            <w:r>
              <w:rPr>
                <w:rFonts w:hint="eastAsia" w:ascii="宋体" w:hAnsi="宋体" w:cs="宋体"/>
              </w:rPr>
              <w:t>服务整体方案完整性。评审委员会根据递交方案情况横向比较评分。（0-</w:t>
            </w:r>
            <w:r>
              <w:rPr>
                <w:rFonts w:hint="eastAsia" w:ascii="宋体" w:hAnsi="宋体" w:cs="宋体"/>
                <w:lang w:val="en-US" w:eastAsia="zh-CN"/>
              </w:rPr>
              <w:t>20</w:t>
            </w:r>
            <w:r>
              <w:rPr>
                <w:rFonts w:hint="eastAsia" w:ascii="宋体" w:hAnsi="宋体" w:cs="宋体"/>
              </w:rPr>
              <w:t>分）</w:t>
            </w:r>
          </w:p>
        </w:tc>
      </w:tr>
      <w:tr w14:paraId="6941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jc w:val="center"/>
        </w:trPr>
        <w:tc>
          <w:tcPr>
            <w:tcW w:w="820" w:type="dxa"/>
            <w:vMerge w:val="continue"/>
            <w:vAlign w:val="center"/>
          </w:tcPr>
          <w:p w14:paraId="1B1B68D3">
            <w:pPr>
              <w:snapToGrid w:val="0"/>
              <w:spacing w:line="400" w:lineRule="exact"/>
              <w:jc w:val="center"/>
              <w:rPr>
                <w:rFonts w:hint="eastAsia" w:ascii="宋体" w:hAnsi="宋体" w:cs="宋体"/>
                <w:kern w:val="0"/>
              </w:rPr>
            </w:pPr>
          </w:p>
        </w:tc>
        <w:tc>
          <w:tcPr>
            <w:tcW w:w="1415" w:type="dxa"/>
            <w:vMerge w:val="continue"/>
            <w:vAlign w:val="center"/>
          </w:tcPr>
          <w:p w14:paraId="0591346F">
            <w:pPr>
              <w:pStyle w:val="19"/>
              <w:rPr>
                <w:rFonts w:hint="eastAsia" w:ascii="宋体" w:hAnsi="宋体" w:cs="宋体"/>
                <w:sz w:val="21"/>
                <w:szCs w:val="21"/>
                <w:u w:val="none"/>
                <w:lang w:eastAsia="zh-CN"/>
              </w:rPr>
            </w:pPr>
          </w:p>
        </w:tc>
        <w:tc>
          <w:tcPr>
            <w:tcW w:w="1753" w:type="dxa"/>
            <w:gridSpan w:val="2"/>
            <w:vMerge w:val="continue"/>
            <w:vAlign w:val="center"/>
          </w:tcPr>
          <w:p w14:paraId="2E952845">
            <w:pPr>
              <w:tabs>
                <w:tab w:val="left" w:pos="1875"/>
              </w:tabs>
              <w:spacing w:line="400" w:lineRule="exact"/>
              <w:jc w:val="center"/>
              <w:rPr>
                <w:rFonts w:hint="eastAsia" w:ascii="宋体" w:hAnsi="宋体" w:cs="宋体"/>
              </w:rPr>
            </w:pPr>
          </w:p>
        </w:tc>
        <w:tc>
          <w:tcPr>
            <w:tcW w:w="5476" w:type="dxa"/>
            <w:vAlign w:val="center"/>
          </w:tcPr>
          <w:p w14:paraId="2B369D69">
            <w:pPr>
              <w:wordWrap w:val="0"/>
              <w:spacing w:line="360" w:lineRule="auto"/>
              <w:ind w:firstLine="420" w:firstLineChars="200"/>
              <w:jc w:val="left"/>
              <w:rPr>
                <w:b/>
                <w:bCs/>
              </w:rPr>
            </w:pPr>
            <w:r>
              <w:rPr>
                <w:rFonts w:hint="eastAsia" w:ascii="宋体" w:hAnsi="宋体" w:cs="宋体"/>
              </w:rPr>
              <w:t>服务进度计划的合理性、可行性，关键线路是否清晰、准确、完整，关键节点控制措施是否得力、可操作性强，保证措施可靠。评审委员会根据递交方案情况横向比较评分。（0-</w:t>
            </w:r>
            <w:r>
              <w:rPr>
                <w:rFonts w:hint="eastAsia" w:ascii="宋体" w:hAnsi="宋体" w:cs="宋体"/>
                <w:lang w:val="en-US" w:eastAsia="zh-CN"/>
              </w:rPr>
              <w:t>20</w:t>
            </w:r>
            <w:r>
              <w:rPr>
                <w:rFonts w:hint="eastAsia" w:ascii="宋体" w:hAnsi="宋体" w:cs="宋体"/>
              </w:rPr>
              <w:t>分）</w:t>
            </w:r>
          </w:p>
        </w:tc>
      </w:tr>
      <w:tr w14:paraId="5830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jc w:val="center"/>
        </w:trPr>
        <w:tc>
          <w:tcPr>
            <w:tcW w:w="820" w:type="dxa"/>
            <w:vMerge w:val="continue"/>
            <w:vAlign w:val="center"/>
          </w:tcPr>
          <w:p w14:paraId="10753529">
            <w:pPr>
              <w:snapToGrid w:val="0"/>
              <w:spacing w:line="400" w:lineRule="exact"/>
              <w:jc w:val="center"/>
              <w:rPr>
                <w:rFonts w:hint="eastAsia" w:ascii="宋体" w:hAnsi="宋体" w:cs="宋体"/>
                <w:kern w:val="0"/>
              </w:rPr>
            </w:pPr>
          </w:p>
        </w:tc>
        <w:tc>
          <w:tcPr>
            <w:tcW w:w="1415" w:type="dxa"/>
            <w:vMerge w:val="continue"/>
            <w:vAlign w:val="center"/>
          </w:tcPr>
          <w:p w14:paraId="7B851DB6">
            <w:pPr>
              <w:pStyle w:val="19"/>
              <w:rPr>
                <w:rFonts w:hint="eastAsia" w:ascii="宋体" w:hAnsi="宋体" w:cs="宋体"/>
                <w:sz w:val="21"/>
                <w:szCs w:val="21"/>
                <w:u w:val="none"/>
                <w:lang w:eastAsia="zh-CN"/>
              </w:rPr>
            </w:pPr>
          </w:p>
        </w:tc>
        <w:tc>
          <w:tcPr>
            <w:tcW w:w="1753" w:type="dxa"/>
            <w:gridSpan w:val="2"/>
            <w:vMerge w:val="continue"/>
            <w:vAlign w:val="center"/>
          </w:tcPr>
          <w:p w14:paraId="3CD1DBAF">
            <w:pPr>
              <w:tabs>
                <w:tab w:val="left" w:pos="1875"/>
              </w:tabs>
              <w:spacing w:line="400" w:lineRule="exact"/>
              <w:jc w:val="center"/>
              <w:rPr>
                <w:rFonts w:hint="eastAsia" w:ascii="宋体" w:hAnsi="宋体" w:cs="宋体"/>
              </w:rPr>
            </w:pPr>
          </w:p>
        </w:tc>
        <w:tc>
          <w:tcPr>
            <w:tcW w:w="5476" w:type="dxa"/>
            <w:vAlign w:val="center"/>
          </w:tcPr>
          <w:p w14:paraId="125D0FCD">
            <w:pPr>
              <w:wordWrap w:val="0"/>
              <w:spacing w:line="360" w:lineRule="auto"/>
              <w:ind w:firstLine="420" w:firstLineChars="200"/>
              <w:jc w:val="left"/>
              <w:rPr>
                <w:rFonts w:hint="eastAsia" w:ascii="宋体" w:hAnsi="宋体" w:cs="宋体"/>
                <w:highlight w:val="none"/>
              </w:rPr>
            </w:pPr>
            <w:r>
              <w:rPr>
                <w:rFonts w:hint="eastAsia" w:ascii="宋体" w:hAnsi="宋体" w:cs="宋体"/>
                <w:highlight w:val="none"/>
              </w:rPr>
              <w:t>服务团队实力，人员配置是否合理、符合项目实际情况。（0-10分）</w:t>
            </w:r>
          </w:p>
          <w:p w14:paraId="3A5E1A96">
            <w:pPr>
              <w:wordWrap w:val="0"/>
              <w:spacing w:line="360" w:lineRule="auto"/>
              <w:ind w:firstLine="420" w:firstLineChars="200"/>
              <w:jc w:val="left"/>
              <w:rPr>
                <w:rFonts w:hint="eastAsia" w:ascii="宋体" w:hAnsi="宋体" w:cs="宋体"/>
                <w:highlight w:val="none"/>
              </w:rPr>
            </w:pPr>
            <w:r>
              <w:rPr>
                <w:rFonts w:hint="eastAsia" w:ascii="宋体" w:hAnsi="宋体" w:cs="宋体"/>
                <w:highlight w:val="none"/>
              </w:rPr>
              <w:t>1、项目负责人证书（6分）</w:t>
            </w:r>
          </w:p>
          <w:p w14:paraId="54F9C8D9">
            <w:pPr>
              <w:wordWrap w:val="0"/>
              <w:spacing w:line="360" w:lineRule="auto"/>
              <w:ind w:firstLine="420" w:firstLineChars="200"/>
              <w:jc w:val="left"/>
              <w:rPr>
                <w:rFonts w:hint="eastAsia" w:ascii="宋体" w:hAnsi="宋体" w:cs="宋体"/>
                <w:highlight w:val="none"/>
              </w:rPr>
            </w:pPr>
            <w:r>
              <w:rPr>
                <w:rFonts w:hint="eastAsia" w:ascii="宋体" w:hAnsi="宋体" w:cs="宋体"/>
                <w:highlight w:val="none"/>
              </w:rPr>
              <w:t>（1）项目负责人具备税务师证书执业年限满5年（不含）以上的得3分,最高得3分。</w:t>
            </w:r>
          </w:p>
          <w:p w14:paraId="331FA9B0">
            <w:pPr>
              <w:wordWrap w:val="0"/>
              <w:spacing w:line="360" w:lineRule="auto"/>
              <w:ind w:firstLine="420" w:firstLineChars="200"/>
              <w:jc w:val="left"/>
              <w:rPr>
                <w:rFonts w:hint="eastAsia" w:ascii="宋体" w:hAnsi="宋体" w:cs="宋体"/>
                <w:highlight w:val="none"/>
              </w:rPr>
            </w:pPr>
            <w:r>
              <w:rPr>
                <w:rFonts w:hint="eastAsia" w:ascii="宋体" w:hAnsi="宋体" w:cs="宋体"/>
                <w:highlight w:val="none"/>
              </w:rPr>
              <w:t>（2）持有高级会计师证书或注册会计证书，得3分,最高得3分。</w:t>
            </w:r>
          </w:p>
          <w:p w14:paraId="3B2302F7">
            <w:pPr>
              <w:wordWrap w:val="0"/>
              <w:spacing w:line="360" w:lineRule="auto"/>
              <w:ind w:firstLine="420" w:firstLineChars="200"/>
              <w:jc w:val="left"/>
              <w:rPr>
                <w:rFonts w:hint="eastAsia" w:ascii="宋体" w:hAnsi="宋体" w:cs="宋体"/>
                <w:highlight w:val="none"/>
              </w:rPr>
            </w:pPr>
            <w:r>
              <w:rPr>
                <w:rFonts w:hint="eastAsia" w:ascii="宋体" w:hAnsi="宋体" w:cs="宋体"/>
                <w:highlight w:val="none"/>
              </w:rPr>
              <w:t>2、其他团队人员（不含项目负责人）（4分）（同一人具备多种证书不重复加分。）</w:t>
            </w:r>
          </w:p>
          <w:p w14:paraId="13826529">
            <w:pPr>
              <w:wordWrap w:val="0"/>
              <w:spacing w:line="360" w:lineRule="auto"/>
              <w:ind w:firstLine="420" w:firstLineChars="200"/>
              <w:jc w:val="left"/>
              <w:rPr>
                <w:rFonts w:hint="eastAsia" w:ascii="宋体" w:hAnsi="宋体" w:cs="宋体"/>
                <w:highlight w:val="none"/>
              </w:rPr>
            </w:pPr>
            <w:r>
              <w:rPr>
                <w:rFonts w:hint="eastAsia" w:ascii="宋体" w:hAnsi="宋体" w:cs="宋体"/>
                <w:highlight w:val="none"/>
              </w:rPr>
              <w:t>（1）其他团队成员：每有1人持有中级及以上会计师证书得2分，最高得4分。</w:t>
            </w:r>
          </w:p>
          <w:p w14:paraId="59E5991F">
            <w:pPr>
              <w:wordWrap w:val="0"/>
              <w:spacing w:line="360" w:lineRule="auto"/>
              <w:ind w:firstLine="420" w:firstLineChars="200"/>
              <w:jc w:val="left"/>
              <w:rPr>
                <w:b/>
                <w:bCs/>
              </w:rPr>
            </w:pPr>
            <w:r>
              <w:rPr>
                <w:rFonts w:hint="eastAsia" w:ascii="宋体" w:hAnsi="宋体" w:cs="宋体"/>
                <w:highlight w:val="none"/>
              </w:rPr>
              <w:t>注：执业年限以证书标注日期为准。</w:t>
            </w:r>
          </w:p>
        </w:tc>
      </w:tr>
      <w:tr w14:paraId="6523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20" w:type="dxa"/>
            <w:vAlign w:val="center"/>
          </w:tcPr>
          <w:p w14:paraId="6A4D73B6">
            <w:pPr>
              <w:snapToGrid w:val="0"/>
              <w:spacing w:line="400" w:lineRule="exact"/>
              <w:jc w:val="center"/>
              <w:rPr>
                <w:rFonts w:hint="eastAsia" w:ascii="宋体" w:hAnsi="宋体" w:cs="宋体"/>
                <w:kern w:val="0"/>
              </w:rPr>
            </w:pPr>
            <w:r>
              <w:rPr>
                <w:rFonts w:hint="eastAsia" w:ascii="宋体" w:hAnsi="宋体" w:cs="宋体"/>
                <w:kern w:val="0"/>
              </w:rPr>
              <w:t>2.2.3</w:t>
            </w:r>
          </w:p>
          <w:p w14:paraId="385CEA07">
            <w:pPr>
              <w:snapToGrid w:val="0"/>
              <w:spacing w:line="400" w:lineRule="exact"/>
              <w:jc w:val="center"/>
            </w:pPr>
            <w:r>
              <w:rPr>
                <w:rFonts w:hint="eastAsia" w:ascii="宋体" w:hAnsi="宋体" w:cs="宋体"/>
                <w:kern w:val="0"/>
              </w:rPr>
              <w:t>（3）</w:t>
            </w:r>
          </w:p>
        </w:tc>
        <w:tc>
          <w:tcPr>
            <w:tcW w:w="1415" w:type="dxa"/>
            <w:vAlign w:val="center"/>
          </w:tcPr>
          <w:p w14:paraId="5F8AF15F">
            <w:pPr>
              <w:pStyle w:val="19"/>
              <w:rPr>
                <w:u w:val="none"/>
                <w:lang w:eastAsia="zh-CN"/>
              </w:rPr>
            </w:pPr>
            <w:r>
              <w:rPr>
                <w:rFonts w:hint="eastAsia"/>
                <w:u w:val="none"/>
                <w:lang w:eastAsia="zh-CN"/>
              </w:rPr>
              <w:t>商务部分</w:t>
            </w:r>
          </w:p>
          <w:p w14:paraId="705AB9C0">
            <w:r>
              <w:rPr>
                <w:rFonts w:hint="eastAsia" w:ascii="宋体" w:hAnsi="宋体" w:cs="宋体"/>
              </w:rPr>
              <w:t>（</w:t>
            </w:r>
            <w:r>
              <w:rPr>
                <w:rFonts w:hint="eastAsia" w:ascii="宋体" w:hAnsi="宋体" w:cs="宋体"/>
                <w:u w:val="single"/>
              </w:rPr>
              <w:t>20</w:t>
            </w:r>
            <w:r>
              <w:rPr>
                <w:rFonts w:hint="eastAsia" w:ascii="宋体" w:hAnsi="宋体" w:cs="宋体"/>
              </w:rPr>
              <w:t>分）</w:t>
            </w:r>
          </w:p>
        </w:tc>
        <w:tc>
          <w:tcPr>
            <w:tcW w:w="1753" w:type="dxa"/>
            <w:gridSpan w:val="2"/>
            <w:vAlign w:val="center"/>
          </w:tcPr>
          <w:p w14:paraId="6394FEB2">
            <w:pPr>
              <w:spacing w:line="360" w:lineRule="auto"/>
              <w:jc w:val="center"/>
            </w:pPr>
            <w:r>
              <w:rPr>
                <w:rFonts w:hint="eastAsia" w:ascii="宋体" w:hAnsi="宋体" w:cs="宋体"/>
              </w:rPr>
              <w:t>业绩经验（20分）</w:t>
            </w:r>
          </w:p>
        </w:tc>
        <w:tc>
          <w:tcPr>
            <w:tcW w:w="5476" w:type="dxa"/>
            <w:vAlign w:val="center"/>
          </w:tcPr>
          <w:p w14:paraId="104F3564">
            <w:pPr>
              <w:spacing w:line="360" w:lineRule="auto"/>
              <w:ind w:firstLine="420" w:firstLineChars="200"/>
              <w:rPr>
                <w:highlight w:val="none"/>
              </w:rPr>
            </w:pPr>
            <w:r>
              <w:rPr>
                <w:rFonts w:hint="eastAsia" w:ascii="宋体" w:hAnsi="宋体" w:cs="宋体"/>
                <w:szCs w:val="20"/>
                <w:highlight w:val="none"/>
              </w:rPr>
              <w:t>1.2022年1月1日至询比申请截止时间前</w:t>
            </w:r>
            <w:r>
              <w:rPr>
                <w:rFonts w:hint="eastAsia" w:ascii="Calibri" w:hAnsi="宋体"/>
                <w:highlight w:val="none"/>
              </w:rPr>
              <w:t>（以合同签订时间为准）</w:t>
            </w:r>
            <w:r>
              <w:rPr>
                <w:rFonts w:hint="eastAsia" w:ascii="宋体" w:hAnsi="宋体" w:cs="宋体"/>
                <w:szCs w:val="20"/>
                <w:highlight w:val="none"/>
              </w:rPr>
              <w:t>，询比申请人每增加1个</w:t>
            </w:r>
            <w:r>
              <w:rPr>
                <w:rFonts w:hint="eastAsia" w:ascii="宋体" w:hAnsi="宋体" w:cs="宋体"/>
                <w:szCs w:val="20"/>
                <w:highlight w:val="none"/>
                <w:lang w:val="en-US" w:eastAsia="zh-CN"/>
              </w:rPr>
              <w:t>企</w:t>
            </w:r>
            <w:r>
              <w:rPr>
                <w:rFonts w:hint="eastAsia" w:ascii="宋体" w:hAnsi="宋体" w:cs="宋体"/>
                <w:highlight w:val="none"/>
              </w:rPr>
              <w:t>业的财税咨询服务相关业绩</w:t>
            </w:r>
            <w:r>
              <w:rPr>
                <w:rFonts w:hint="eastAsia" w:ascii="宋体" w:hAnsi="宋体" w:cs="宋体"/>
                <w:szCs w:val="20"/>
                <w:highlight w:val="none"/>
              </w:rPr>
              <w:t>，</w:t>
            </w:r>
            <w:r>
              <w:rPr>
                <w:rFonts w:hint="eastAsia" w:ascii="宋体" w:hAnsi="宋体" w:cs="宋体"/>
                <w:color w:val="000000"/>
                <w:highlight w:val="none"/>
              </w:rPr>
              <w:t>得5分，最高得20分。</w:t>
            </w:r>
          </w:p>
          <w:p w14:paraId="066ED666">
            <w:pPr>
              <w:spacing w:after="120" w:line="360" w:lineRule="auto"/>
              <w:ind w:firstLine="422" w:firstLineChars="200"/>
              <w:rPr>
                <w:rFonts w:hint="eastAsia" w:ascii="宋体" w:hAnsi="宋体" w:cs="宋体"/>
                <w:szCs w:val="20"/>
              </w:rPr>
            </w:pPr>
            <w:r>
              <w:rPr>
                <w:rFonts w:hint="eastAsia" w:ascii="宋体" w:hAnsi="宋体" w:cs="宋体"/>
                <w:b/>
              </w:rPr>
              <w:t>提供：</w:t>
            </w:r>
            <w:r>
              <w:rPr>
                <w:rFonts w:hint="eastAsia" w:ascii="宋体" w:hAnsi="宋体" w:cs="宋体"/>
                <w:bCs/>
              </w:rPr>
              <w:t>有效合同协议书关键页及盖章复印件并加盖询比申请人单位鲜公章，敏感性内容可以遮挡。无法体现主办律师的，可增附其他有效证明材料（如委托方证明）。</w:t>
            </w:r>
          </w:p>
        </w:tc>
      </w:tr>
      <w:tr w14:paraId="6696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820" w:type="dxa"/>
            <w:vAlign w:val="center"/>
          </w:tcPr>
          <w:p w14:paraId="11FA1080">
            <w:pPr>
              <w:spacing w:line="400" w:lineRule="exact"/>
              <w:jc w:val="center"/>
              <w:rPr>
                <w:rFonts w:hint="eastAsia" w:ascii="宋体" w:hAnsi="宋体" w:cs="宋体"/>
                <w:kern w:val="0"/>
              </w:rPr>
            </w:pPr>
            <w:r>
              <w:rPr>
                <w:rFonts w:hint="eastAsia" w:ascii="宋体" w:hAnsi="宋体" w:cs="宋体"/>
              </w:rPr>
              <w:t>3</w:t>
            </w:r>
          </w:p>
        </w:tc>
        <w:tc>
          <w:tcPr>
            <w:tcW w:w="1415" w:type="dxa"/>
            <w:textDirection w:val="tbRlV"/>
            <w:vAlign w:val="center"/>
          </w:tcPr>
          <w:p w14:paraId="4157B9EB">
            <w:pPr>
              <w:spacing w:line="400" w:lineRule="exact"/>
              <w:ind w:left="113" w:right="113"/>
              <w:jc w:val="center"/>
              <w:rPr>
                <w:rFonts w:hint="eastAsia" w:ascii="宋体" w:hAnsi="宋体" w:cs="宋体"/>
                <w:kern w:val="0"/>
              </w:rPr>
            </w:pPr>
            <w:r>
              <w:rPr>
                <w:rFonts w:hint="eastAsia" w:ascii="宋体" w:hAnsi="宋体" w:cs="宋体"/>
              </w:rPr>
              <w:t>评审程序</w:t>
            </w:r>
          </w:p>
        </w:tc>
        <w:tc>
          <w:tcPr>
            <w:tcW w:w="7229" w:type="dxa"/>
            <w:gridSpan w:val="3"/>
          </w:tcPr>
          <w:p w14:paraId="5D8447C8">
            <w:pPr>
              <w:spacing w:line="400" w:lineRule="exact"/>
              <w:ind w:firstLine="420" w:firstLineChars="200"/>
              <w:rPr>
                <w:rFonts w:hint="eastAsia" w:ascii="宋体" w:hAnsi="宋体" w:cs="宋体"/>
              </w:rPr>
            </w:pPr>
            <w:r>
              <w:rPr>
                <w:rFonts w:hint="eastAsia" w:ascii="宋体" w:hAnsi="宋体" w:cs="宋体"/>
              </w:rPr>
              <w:t>1.初步评审合格的响应文件进行商务部分、技术部分、响应报价的评分。</w:t>
            </w:r>
          </w:p>
          <w:p w14:paraId="36C2B493">
            <w:pPr>
              <w:spacing w:line="400" w:lineRule="exact"/>
              <w:ind w:firstLine="420" w:firstLineChars="200"/>
              <w:rPr>
                <w:rFonts w:hint="eastAsia" w:ascii="宋体" w:hAnsi="宋体" w:cs="宋体"/>
              </w:rPr>
            </w:pPr>
            <w:r>
              <w:rPr>
                <w:rFonts w:hint="eastAsia" w:ascii="宋体" w:hAnsi="宋体" w:cs="宋体"/>
              </w:rPr>
              <w:t>2.根据综合得分由高至低进行排序，推荐1-3家合格的中选候选人。并依次为第一、二、三中选候选人。</w:t>
            </w:r>
          </w:p>
        </w:tc>
      </w:tr>
      <w:tr w14:paraId="618B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820" w:type="dxa"/>
            <w:vAlign w:val="center"/>
          </w:tcPr>
          <w:p w14:paraId="2C615EEA">
            <w:pPr>
              <w:adjustRightInd w:val="0"/>
              <w:snapToGrid w:val="0"/>
              <w:spacing w:line="300" w:lineRule="exact"/>
              <w:jc w:val="center"/>
              <w:rPr>
                <w:rFonts w:hint="eastAsia" w:ascii="宋体" w:hAnsi="宋体" w:cs="宋体"/>
              </w:rPr>
            </w:pPr>
            <w:r>
              <w:rPr>
                <w:rFonts w:hint="eastAsia" w:ascii="宋体" w:hAnsi="宋体" w:cs="宋体"/>
              </w:rPr>
              <w:t>3.2.1（1）</w:t>
            </w:r>
          </w:p>
        </w:tc>
        <w:tc>
          <w:tcPr>
            <w:tcW w:w="1415" w:type="dxa"/>
            <w:vAlign w:val="center"/>
          </w:tcPr>
          <w:p w14:paraId="2E830589">
            <w:pPr>
              <w:adjustRightInd w:val="0"/>
              <w:snapToGrid w:val="0"/>
              <w:spacing w:line="300" w:lineRule="exact"/>
              <w:jc w:val="center"/>
              <w:rPr>
                <w:rFonts w:hint="eastAsia" w:ascii="宋体" w:hAnsi="宋体" w:cs="宋体"/>
              </w:rPr>
            </w:pPr>
            <w:r>
              <w:rPr>
                <w:rFonts w:hint="eastAsia" w:ascii="宋体" w:hAnsi="宋体" w:cs="宋体"/>
              </w:rPr>
              <w:t>响应报价得分（A）</w:t>
            </w:r>
          </w:p>
        </w:tc>
        <w:tc>
          <w:tcPr>
            <w:tcW w:w="7229" w:type="dxa"/>
            <w:gridSpan w:val="3"/>
            <w:vAlign w:val="center"/>
          </w:tcPr>
          <w:p w14:paraId="73781A07">
            <w:pPr>
              <w:adjustRightInd w:val="0"/>
              <w:snapToGrid w:val="0"/>
              <w:spacing w:line="300" w:lineRule="exact"/>
              <w:ind w:firstLine="420" w:firstLineChars="200"/>
              <w:jc w:val="center"/>
              <w:rPr>
                <w:rFonts w:hint="eastAsia" w:ascii="宋体" w:hAnsi="宋体" w:cs="宋体"/>
              </w:rPr>
            </w:pPr>
            <w:r>
              <w:rPr>
                <w:rFonts w:hint="eastAsia" w:ascii="宋体" w:hAnsi="宋体" w:cs="宋体"/>
              </w:rPr>
              <w:t>按2.2.3（1）项各评审因素设定的分值评分。</w:t>
            </w:r>
          </w:p>
        </w:tc>
      </w:tr>
      <w:tr w14:paraId="4E68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20" w:type="dxa"/>
            <w:vAlign w:val="center"/>
          </w:tcPr>
          <w:p w14:paraId="40BDC95F">
            <w:pPr>
              <w:adjustRightInd w:val="0"/>
              <w:snapToGrid w:val="0"/>
              <w:spacing w:line="300" w:lineRule="exact"/>
              <w:jc w:val="center"/>
              <w:rPr>
                <w:rFonts w:hint="eastAsia" w:ascii="宋体" w:hAnsi="宋体" w:cs="宋体"/>
              </w:rPr>
            </w:pPr>
            <w:r>
              <w:rPr>
                <w:rFonts w:hint="eastAsia" w:ascii="宋体" w:hAnsi="宋体" w:cs="宋体"/>
              </w:rPr>
              <w:t>3.2.1（2）</w:t>
            </w:r>
          </w:p>
        </w:tc>
        <w:tc>
          <w:tcPr>
            <w:tcW w:w="1415" w:type="dxa"/>
            <w:vAlign w:val="center"/>
          </w:tcPr>
          <w:p w14:paraId="4BE315E1">
            <w:pPr>
              <w:adjustRightInd w:val="0"/>
              <w:snapToGrid w:val="0"/>
              <w:spacing w:line="300" w:lineRule="exact"/>
              <w:jc w:val="center"/>
              <w:rPr>
                <w:rFonts w:hint="eastAsia" w:ascii="宋体" w:hAnsi="宋体" w:cs="宋体"/>
              </w:rPr>
            </w:pPr>
            <w:r>
              <w:rPr>
                <w:rFonts w:hint="eastAsia" w:ascii="宋体" w:hAnsi="宋体" w:cs="宋体"/>
                <w:kern w:val="0"/>
              </w:rPr>
              <w:t>技术部分得分（B）</w:t>
            </w:r>
          </w:p>
        </w:tc>
        <w:tc>
          <w:tcPr>
            <w:tcW w:w="7229" w:type="dxa"/>
            <w:gridSpan w:val="3"/>
            <w:vAlign w:val="center"/>
          </w:tcPr>
          <w:p w14:paraId="61CB46CE">
            <w:pPr>
              <w:adjustRightInd w:val="0"/>
              <w:snapToGrid w:val="0"/>
              <w:spacing w:line="300" w:lineRule="exact"/>
              <w:ind w:firstLine="420" w:firstLineChars="200"/>
              <w:jc w:val="center"/>
              <w:rPr>
                <w:rFonts w:hint="eastAsia" w:ascii="宋体" w:hAnsi="宋体" w:cs="宋体"/>
              </w:rPr>
            </w:pPr>
            <w:r>
              <w:rPr>
                <w:rFonts w:hint="eastAsia" w:ascii="宋体" w:hAnsi="宋体" w:cs="宋体"/>
              </w:rPr>
              <w:t>按2.2.3（2）项各评审因素设定的分值评分，技术部分得分</w:t>
            </w:r>
            <w:r>
              <w:rPr>
                <w:rFonts w:ascii="宋体" w:hAnsi="宋体"/>
                <w:snapToGrid w:val="0"/>
                <w:kern w:val="0"/>
              </w:rPr>
              <w:t>取</w:t>
            </w:r>
            <w:r>
              <w:rPr>
                <w:rFonts w:hint="eastAsia" w:ascii="宋体" w:hAnsi="宋体"/>
                <w:snapToGrid w:val="0"/>
                <w:kern w:val="0"/>
              </w:rPr>
              <w:t>所有评审专家评分的</w:t>
            </w:r>
            <w:r>
              <w:rPr>
                <w:rFonts w:ascii="宋体" w:hAnsi="宋体"/>
                <w:snapToGrid w:val="0"/>
                <w:kern w:val="0"/>
              </w:rPr>
              <w:t>算术平均值</w:t>
            </w:r>
            <w:r>
              <w:rPr>
                <w:rFonts w:hint="eastAsia" w:ascii="宋体" w:hAnsi="宋体"/>
                <w:snapToGrid w:val="0"/>
                <w:kern w:val="0"/>
              </w:rPr>
              <w:t>，</w:t>
            </w:r>
            <w:r>
              <w:rPr>
                <w:rFonts w:hint="eastAsia" w:ascii="宋体" w:hAnsi="宋体" w:cs="宋体"/>
              </w:rPr>
              <w:t>计算得分</w:t>
            </w:r>
            <w:r>
              <w:rPr>
                <w:rFonts w:hint="eastAsia" w:ascii="宋体" w:hAnsi="宋体"/>
                <w:snapToGrid w:val="0"/>
                <w:kern w:val="0"/>
              </w:rPr>
              <w:t>保留</w:t>
            </w:r>
            <w:r>
              <w:rPr>
                <w:rFonts w:ascii="宋体" w:hAnsi="宋体"/>
                <w:kern w:val="0"/>
              </w:rPr>
              <w:t>小数点后两位，第三位四舍五入</w:t>
            </w:r>
            <w:r>
              <w:rPr>
                <w:rFonts w:hint="eastAsia" w:ascii="宋体" w:hAnsi="宋体" w:cs="宋体"/>
              </w:rPr>
              <w:t>。</w:t>
            </w:r>
          </w:p>
        </w:tc>
      </w:tr>
      <w:tr w14:paraId="5889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20" w:type="dxa"/>
            <w:vAlign w:val="center"/>
          </w:tcPr>
          <w:p w14:paraId="1166358F">
            <w:pPr>
              <w:snapToGrid w:val="0"/>
              <w:spacing w:line="400" w:lineRule="exact"/>
              <w:jc w:val="center"/>
              <w:rPr>
                <w:rFonts w:hint="eastAsia" w:ascii="宋体" w:hAnsi="宋体" w:cs="宋体"/>
                <w:kern w:val="0"/>
              </w:rPr>
            </w:pPr>
            <w:r>
              <w:rPr>
                <w:rFonts w:hint="eastAsia" w:ascii="宋体" w:hAnsi="宋体" w:cs="宋体"/>
                <w:kern w:val="0"/>
              </w:rPr>
              <w:t>3.2.1</w:t>
            </w:r>
          </w:p>
          <w:p w14:paraId="19216F3E">
            <w:pPr>
              <w:snapToGrid w:val="0"/>
              <w:spacing w:line="400" w:lineRule="exact"/>
              <w:jc w:val="center"/>
            </w:pPr>
            <w:r>
              <w:rPr>
                <w:rFonts w:hint="eastAsia" w:ascii="宋体" w:hAnsi="宋体" w:cs="宋体"/>
                <w:kern w:val="0"/>
              </w:rPr>
              <w:t>（3）</w:t>
            </w:r>
          </w:p>
        </w:tc>
        <w:tc>
          <w:tcPr>
            <w:tcW w:w="1415" w:type="dxa"/>
            <w:vAlign w:val="center"/>
          </w:tcPr>
          <w:p w14:paraId="32B54B28">
            <w:pPr>
              <w:adjustRightInd w:val="0"/>
              <w:snapToGrid w:val="0"/>
              <w:spacing w:line="300" w:lineRule="exact"/>
              <w:jc w:val="center"/>
              <w:rPr>
                <w:rFonts w:hint="eastAsia" w:ascii="宋体" w:hAnsi="宋体" w:cs="宋体"/>
                <w:kern w:val="0"/>
              </w:rPr>
            </w:pPr>
            <w:r>
              <w:rPr>
                <w:rFonts w:hint="eastAsia" w:ascii="宋体" w:hAnsi="宋体" w:cs="宋体"/>
                <w:kern w:val="0"/>
              </w:rPr>
              <w:t>商务部分得分（C）</w:t>
            </w:r>
          </w:p>
        </w:tc>
        <w:tc>
          <w:tcPr>
            <w:tcW w:w="7229" w:type="dxa"/>
            <w:gridSpan w:val="3"/>
            <w:vAlign w:val="center"/>
          </w:tcPr>
          <w:p w14:paraId="701108C2">
            <w:pPr>
              <w:adjustRightInd w:val="0"/>
              <w:snapToGrid w:val="0"/>
              <w:spacing w:line="300" w:lineRule="exact"/>
              <w:ind w:firstLine="420" w:firstLineChars="200"/>
              <w:jc w:val="center"/>
              <w:rPr>
                <w:rFonts w:hint="eastAsia" w:ascii="宋体" w:hAnsi="宋体" w:cs="宋体"/>
              </w:rPr>
            </w:pPr>
            <w:r>
              <w:rPr>
                <w:rFonts w:hint="eastAsia" w:ascii="宋体" w:hAnsi="宋体" w:cs="宋体"/>
              </w:rPr>
              <w:t>按2.2.3（3）项各评审因素设定的分值评分。</w:t>
            </w:r>
          </w:p>
        </w:tc>
      </w:tr>
      <w:tr w14:paraId="0951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235" w:type="dxa"/>
            <w:gridSpan w:val="2"/>
            <w:vAlign w:val="center"/>
          </w:tcPr>
          <w:p w14:paraId="3CBF60DC">
            <w:pPr>
              <w:spacing w:line="400" w:lineRule="exact"/>
              <w:ind w:firstLine="420" w:firstLineChars="200"/>
              <w:rPr>
                <w:rFonts w:hint="eastAsia" w:ascii="宋体" w:hAnsi="宋体" w:cs="宋体"/>
              </w:rPr>
            </w:pPr>
            <w:r>
              <w:rPr>
                <w:rFonts w:hint="eastAsia" w:ascii="宋体" w:hAnsi="宋体" w:cs="宋体"/>
              </w:rPr>
              <w:t>3.2.2</w:t>
            </w:r>
          </w:p>
        </w:tc>
        <w:tc>
          <w:tcPr>
            <w:tcW w:w="1578" w:type="dxa"/>
            <w:vAlign w:val="center"/>
          </w:tcPr>
          <w:p w14:paraId="14F3B0CA">
            <w:pPr>
              <w:spacing w:line="400" w:lineRule="exact"/>
              <w:rPr>
                <w:rFonts w:hint="eastAsia" w:ascii="宋体" w:hAnsi="宋体" w:cs="宋体"/>
              </w:rPr>
            </w:pPr>
            <w:r>
              <w:rPr>
                <w:rFonts w:hint="eastAsia" w:ascii="宋体" w:hAnsi="宋体" w:cs="宋体"/>
              </w:rPr>
              <w:t>询比申请人得分</w:t>
            </w:r>
          </w:p>
        </w:tc>
        <w:tc>
          <w:tcPr>
            <w:tcW w:w="5651" w:type="dxa"/>
            <w:gridSpan w:val="2"/>
            <w:vAlign w:val="center"/>
          </w:tcPr>
          <w:p w14:paraId="63D1F931">
            <w:pPr>
              <w:spacing w:line="400" w:lineRule="exact"/>
              <w:ind w:firstLine="420" w:firstLineChars="200"/>
              <w:jc w:val="center"/>
              <w:rPr>
                <w:rFonts w:hint="eastAsia" w:ascii="宋体" w:hAnsi="宋体" w:cs="宋体"/>
              </w:rPr>
            </w:pPr>
            <w:r>
              <w:rPr>
                <w:rFonts w:hint="eastAsia" w:ascii="宋体" w:hAnsi="宋体" w:cs="宋体"/>
              </w:rPr>
              <w:t>询比申请人得分=A+B+C</w:t>
            </w:r>
          </w:p>
        </w:tc>
      </w:tr>
      <w:bookmarkEnd w:id="43"/>
    </w:tbl>
    <w:p w14:paraId="1EA8F9C6">
      <w:pPr>
        <w:spacing w:line="360" w:lineRule="auto"/>
        <w:ind w:firstLine="422" w:firstLineChars="200"/>
        <w:rPr>
          <w:rFonts w:hint="eastAsia" w:ascii="宋体" w:hAnsi="宋体" w:cs="宋体"/>
          <w:b/>
          <w:bCs/>
        </w:rPr>
      </w:pPr>
      <w:r>
        <w:rPr>
          <w:rFonts w:hint="eastAsia" w:ascii="宋体" w:hAnsi="宋体" w:cs="宋体"/>
          <w:b/>
          <w:bCs/>
        </w:rPr>
        <w:t>十、评审结果公示</w:t>
      </w:r>
    </w:p>
    <w:p w14:paraId="5382F419">
      <w:pPr>
        <w:pStyle w:val="14"/>
        <w:spacing w:line="360" w:lineRule="auto"/>
        <w:ind w:firstLine="420" w:firstLineChars="200"/>
        <w:rPr>
          <w:rFonts w:hint="eastAsia" w:ascii="宋体" w:hAnsi="宋体" w:cs="宋体"/>
          <w:b/>
          <w:bCs/>
        </w:rPr>
      </w:pPr>
      <w:r>
        <w:rPr>
          <w:rFonts w:hint="eastAsia"/>
        </w:rPr>
        <w:t>本次询比评审结果公示在渝e招阳光智采平台（www.yangguangguoqi.com）上发布</w:t>
      </w:r>
      <w:r>
        <w:rPr>
          <w:rFonts w:hint="eastAsia" w:ascii="宋体" w:hAnsi="宋体" w:cs="宋体"/>
          <w:spacing w:val="-11"/>
        </w:rPr>
        <w:t>，公示期为3日。</w:t>
      </w:r>
    </w:p>
    <w:p w14:paraId="61DB54BF">
      <w:pPr>
        <w:spacing w:line="360" w:lineRule="auto"/>
        <w:ind w:firstLine="422" w:firstLineChars="200"/>
        <w:rPr>
          <w:rFonts w:ascii="宋体"/>
          <w:b/>
          <w:bCs/>
        </w:rPr>
      </w:pPr>
      <w:r>
        <w:rPr>
          <w:rFonts w:hint="eastAsia" w:ascii="宋体" w:hAnsi="宋体" w:cs="宋体"/>
          <w:b/>
          <w:bCs/>
        </w:rPr>
        <w:t>十一、确定中选单位、重新选择中选单位说明</w:t>
      </w:r>
    </w:p>
    <w:p w14:paraId="364F1248">
      <w:pPr>
        <w:pStyle w:val="14"/>
        <w:spacing w:line="360" w:lineRule="auto"/>
        <w:ind w:firstLine="420" w:firstLineChars="200"/>
        <w:rPr>
          <w:rFonts w:hint="eastAsia" w:ascii="宋体" w:hAnsi="宋体" w:cs="宋体"/>
        </w:rPr>
      </w:pPr>
      <w:r>
        <w:rPr>
          <w:rFonts w:hint="eastAsia" w:ascii="宋体" w:hAnsi="宋体" w:cs="宋体"/>
        </w:rPr>
        <w:t>1.</w:t>
      </w:r>
      <w:r>
        <w:rPr>
          <w:rFonts w:ascii="Helvetica" w:hAnsi="Helvetica"/>
          <w:color w:val="666666"/>
        </w:rPr>
        <w:t>公示期间无异议的，</w:t>
      </w:r>
      <w:r>
        <w:rPr>
          <w:rFonts w:hint="eastAsia" w:ascii="Helvetica" w:hAnsi="Helvetica"/>
          <w:color w:val="666666"/>
        </w:rPr>
        <w:t>采购</w:t>
      </w:r>
      <w:r>
        <w:rPr>
          <w:rFonts w:hint="eastAsia" w:ascii="宋体" w:hAnsi="宋体" w:cs="宋体"/>
        </w:rPr>
        <w:t>人根据推荐，向中选人发出中选通知书。</w:t>
      </w:r>
    </w:p>
    <w:p w14:paraId="127D2768">
      <w:pPr>
        <w:pStyle w:val="14"/>
        <w:spacing w:line="360" w:lineRule="auto"/>
        <w:ind w:firstLine="420" w:firstLineChars="200"/>
        <w:rPr>
          <w:rFonts w:hint="eastAsia" w:ascii="宋体" w:hAnsi="宋体" w:cs="宋体"/>
        </w:rPr>
      </w:pPr>
      <w:r>
        <w:rPr>
          <w:rFonts w:hint="eastAsia" w:ascii="宋体" w:hAnsi="宋体" w:cs="宋体"/>
        </w:rPr>
        <w:t>2.</w:t>
      </w:r>
      <w:r>
        <w:rPr>
          <w:rFonts w:hint="eastAsia"/>
        </w:rPr>
        <w:t>在合作期间，若中选单位不能按照询比文件或合同约定履约、自动退出的，采购人将解除合同。同时依法组织重新询比活动。</w:t>
      </w:r>
    </w:p>
    <w:p w14:paraId="665D6CB0">
      <w:pPr>
        <w:spacing w:line="360" w:lineRule="auto"/>
        <w:ind w:firstLine="422" w:firstLineChars="200"/>
        <w:rPr>
          <w:rFonts w:hint="eastAsia" w:ascii="宋体" w:hAnsi="宋体" w:cs="宋体"/>
        </w:rPr>
      </w:pPr>
      <w:r>
        <w:rPr>
          <w:rFonts w:hint="eastAsia" w:ascii="宋体" w:hAnsi="宋体" w:cs="宋体"/>
          <w:b/>
          <w:bCs/>
        </w:rPr>
        <w:t>十二、合同的签订</w:t>
      </w:r>
    </w:p>
    <w:p w14:paraId="291F86B6">
      <w:pPr>
        <w:spacing w:line="360" w:lineRule="auto"/>
        <w:ind w:firstLine="420" w:firstLineChars="200"/>
        <w:rPr>
          <w:rFonts w:ascii="宋体"/>
        </w:rPr>
      </w:pPr>
      <w:r>
        <w:rPr>
          <w:rFonts w:hint="eastAsia" w:ascii="宋体" w:hAnsi="宋体" w:cs="宋体"/>
        </w:rPr>
        <w:t>中选人应当自中选通知书签章起</w:t>
      </w:r>
      <w:r>
        <w:rPr>
          <w:rFonts w:hint="eastAsia"/>
        </w:rPr>
        <w:t>20</w:t>
      </w:r>
      <w:r>
        <w:rPr>
          <w:rFonts w:hint="eastAsia" w:ascii="宋体" w:hAnsi="宋体" w:cs="宋体"/>
        </w:rPr>
        <w:t>天内按询比文件合同模板和中选人的响应文件内容与采购人签订书面合同。中选人无正当理由拒签合同的或因中选人原因未在规定时间内签定合同的，采购人取消其中选资格，给采购人造成损失的，中选人还应当予以赔偿。如中选人未签订合同，采购人将依法组织重新询比。</w:t>
      </w:r>
    </w:p>
    <w:p w14:paraId="397FC7BD">
      <w:pPr>
        <w:spacing w:line="360" w:lineRule="auto"/>
        <w:ind w:firstLine="422" w:firstLineChars="200"/>
        <w:rPr>
          <w:rFonts w:ascii="宋体"/>
        </w:rPr>
      </w:pPr>
      <w:r>
        <w:rPr>
          <w:rFonts w:hint="eastAsia" w:ascii="宋体" w:hAnsi="宋体" w:cs="宋体"/>
          <w:b/>
          <w:bCs/>
        </w:rPr>
        <w:t>十三、重新询比和不再询比</w:t>
      </w:r>
    </w:p>
    <w:p w14:paraId="761E6C68">
      <w:pPr>
        <w:spacing w:line="360" w:lineRule="auto"/>
        <w:ind w:firstLine="420" w:firstLineChars="200"/>
        <w:rPr>
          <w:rFonts w:ascii="宋体"/>
        </w:rPr>
      </w:pPr>
      <w:bookmarkStart w:id="44" w:name="_Toc200513170"/>
      <w:r>
        <w:rPr>
          <w:rFonts w:ascii="宋体" w:hAnsi="宋体" w:cs="宋体"/>
        </w:rPr>
        <w:t>1</w:t>
      </w:r>
      <w:r>
        <w:rPr>
          <w:rFonts w:hint="eastAsia" w:ascii="宋体" w:hAnsi="宋体" w:cs="宋体"/>
        </w:rPr>
        <w:t>、重新</w:t>
      </w:r>
      <w:bookmarkEnd w:id="44"/>
      <w:r>
        <w:rPr>
          <w:rFonts w:hint="eastAsia" w:ascii="宋体" w:hAnsi="宋体" w:cs="宋体"/>
        </w:rPr>
        <w:t>询比</w:t>
      </w:r>
    </w:p>
    <w:p w14:paraId="0831CE51">
      <w:pPr>
        <w:spacing w:line="360" w:lineRule="auto"/>
        <w:ind w:firstLine="420" w:firstLineChars="200"/>
        <w:rPr>
          <w:rFonts w:ascii="宋体"/>
        </w:rPr>
      </w:pPr>
      <w:r>
        <w:rPr>
          <w:rFonts w:hint="eastAsia" w:ascii="宋体" w:hAnsi="宋体" w:cs="宋体"/>
        </w:rPr>
        <w:t>有下列情形之一的，采购人将重新进行询比采购：</w:t>
      </w:r>
    </w:p>
    <w:p w14:paraId="79C4A8B4">
      <w:pPr>
        <w:spacing w:line="360" w:lineRule="auto"/>
        <w:ind w:firstLine="420" w:firstLineChars="200"/>
        <w:rPr>
          <w:rFonts w:ascii="宋体"/>
        </w:rPr>
      </w:pPr>
      <w:r>
        <w:rPr>
          <w:rFonts w:hint="eastAsia" w:ascii="宋体" w:hAnsi="宋体" w:cs="宋体"/>
        </w:rPr>
        <w:t>（</w:t>
      </w:r>
      <w:r>
        <w:rPr>
          <w:rFonts w:ascii="宋体" w:hAnsi="宋体" w:cs="宋体"/>
        </w:rPr>
        <w:t>1</w:t>
      </w:r>
      <w:r>
        <w:rPr>
          <w:rFonts w:hint="eastAsia" w:ascii="宋体" w:hAnsi="宋体" w:cs="宋体"/>
        </w:rPr>
        <w:t>）</w:t>
      </w:r>
      <w:bookmarkStart w:id="45" w:name="_Toc200513171"/>
      <w:r>
        <w:rPr>
          <w:rFonts w:hint="eastAsia" w:ascii="宋体" w:hAnsi="宋体" w:cs="宋体"/>
        </w:rPr>
        <w:t>询比截止时间止，询比申请人少于</w:t>
      </w:r>
      <w:r>
        <w:rPr>
          <w:rFonts w:ascii="宋体" w:hAnsi="宋体" w:cs="宋体"/>
        </w:rPr>
        <w:t>3</w:t>
      </w:r>
      <w:r>
        <w:rPr>
          <w:rFonts w:hint="eastAsia" w:ascii="宋体" w:hAnsi="宋体" w:cs="宋体"/>
        </w:rPr>
        <w:t>个的；</w:t>
      </w:r>
    </w:p>
    <w:p w14:paraId="0888F2D6">
      <w:pPr>
        <w:spacing w:line="360" w:lineRule="auto"/>
        <w:ind w:firstLine="420" w:firstLineChars="200"/>
        <w:rPr>
          <w:rFonts w:ascii="宋体"/>
        </w:rPr>
      </w:pPr>
      <w:r>
        <w:rPr>
          <w:rFonts w:hint="eastAsia" w:ascii="宋体" w:hAnsi="宋体" w:cs="宋体"/>
        </w:rPr>
        <w:t>（</w:t>
      </w:r>
      <w:r>
        <w:rPr>
          <w:rFonts w:ascii="宋体" w:hAnsi="宋体" w:cs="宋体"/>
        </w:rPr>
        <w:t>2</w:t>
      </w:r>
      <w:r>
        <w:rPr>
          <w:rFonts w:hint="eastAsia" w:ascii="宋体" w:hAnsi="宋体" w:cs="宋体"/>
        </w:rPr>
        <w:t>）经评审委员会评审后否决所有询比申请的。</w:t>
      </w:r>
    </w:p>
    <w:p w14:paraId="08D8AF85">
      <w:pPr>
        <w:spacing w:line="360" w:lineRule="auto"/>
        <w:ind w:firstLine="420" w:firstLineChars="200"/>
        <w:rPr>
          <w:rFonts w:ascii="宋体"/>
        </w:rPr>
      </w:pPr>
      <w:r>
        <w:rPr>
          <w:rFonts w:hint="eastAsia" w:ascii="宋体" w:hAnsi="宋体" w:cs="宋体"/>
        </w:rPr>
        <w:t>（</w:t>
      </w:r>
      <w:r>
        <w:rPr>
          <w:rFonts w:ascii="宋体" w:hAnsi="宋体" w:cs="宋体"/>
        </w:rPr>
        <w:t>3</w:t>
      </w:r>
      <w:r>
        <w:rPr>
          <w:rFonts w:hint="eastAsia" w:ascii="宋体" w:hAnsi="宋体" w:cs="宋体"/>
        </w:rPr>
        <w:t>）经评审后，如合格的询比申请人少于三个的，且明显缺乏竞争的，评审委员会可以否决全部询比申请，采购人将重新组织询比；</w:t>
      </w:r>
    </w:p>
    <w:p w14:paraId="7BD2487F">
      <w:pPr>
        <w:spacing w:line="360" w:lineRule="auto"/>
        <w:ind w:firstLine="420" w:firstLineChars="200"/>
        <w:rPr>
          <w:rFonts w:ascii="宋体"/>
        </w:rPr>
      </w:pPr>
      <w:r>
        <w:rPr>
          <w:rFonts w:hint="eastAsia" w:ascii="宋体" w:hAnsi="宋体" w:cs="宋体"/>
        </w:rPr>
        <w:t>（</w:t>
      </w:r>
      <w:r>
        <w:rPr>
          <w:rFonts w:ascii="宋体" w:hAnsi="宋体" w:cs="宋体"/>
        </w:rPr>
        <w:t>4</w:t>
      </w:r>
      <w:r>
        <w:rPr>
          <w:rFonts w:hint="eastAsia" w:ascii="宋体" w:hAnsi="宋体" w:cs="宋体"/>
        </w:rPr>
        <w:t>）法律法规规定的其他情形。</w:t>
      </w:r>
      <w:bookmarkEnd w:id="45"/>
    </w:p>
    <w:p w14:paraId="4D341F68">
      <w:pPr>
        <w:spacing w:line="360" w:lineRule="auto"/>
        <w:ind w:firstLine="420" w:firstLineChars="200"/>
        <w:rPr>
          <w:rFonts w:ascii="宋体"/>
        </w:rPr>
      </w:pPr>
      <w:r>
        <w:rPr>
          <w:rFonts w:ascii="宋体" w:hAnsi="宋体" w:cs="宋体"/>
        </w:rPr>
        <w:t>2</w:t>
      </w:r>
      <w:r>
        <w:rPr>
          <w:rFonts w:hint="eastAsia" w:ascii="宋体" w:hAnsi="宋体" w:cs="宋体"/>
        </w:rPr>
        <w:t>、重新询比和不再询比</w:t>
      </w:r>
    </w:p>
    <w:p w14:paraId="63A5A894">
      <w:pPr>
        <w:spacing w:line="360" w:lineRule="auto"/>
        <w:ind w:firstLine="420" w:firstLineChars="200"/>
        <w:rPr>
          <w:rFonts w:hint="eastAsia" w:ascii="宋体" w:hAnsi="宋体" w:cs="宋体"/>
        </w:rPr>
      </w:pPr>
      <w:r>
        <w:rPr>
          <w:rFonts w:hint="eastAsia" w:ascii="宋体" w:hAnsi="宋体" w:cs="宋体"/>
        </w:rPr>
        <w:t>重新询比后询比申请人仍少于</w:t>
      </w:r>
      <w:r>
        <w:rPr>
          <w:rFonts w:ascii="宋体" w:hAnsi="宋体" w:cs="宋体"/>
        </w:rPr>
        <w:t>3</w:t>
      </w:r>
      <w:r>
        <w:rPr>
          <w:rFonts w:hint="eastAsia" w:ascii="宋体" w:hAnsi="宋体" w:cs="宋体"/>
        </w:rPr>
        <w:t>个，按法定程序开标和评审，确定中选人。经评审无合格询比申请人，经采购人审批或者核准后不再进行询比。</w:t>
      </w:r>
    </w:p>
    <w:p w14:paraId="654120C3">
      <w:pPr>
        <w:spacing w:line="360" w:lineRule="auto"/>
        <w:ind w:firstLine="422" w:firstLineChars="200"/>
        <w:rPr>
          <w:rFonts w:hint="eastAsia" w:ascii="宋体" w:hAnsi="宋体" w:cs="宋体"/>
          <w:b/>
          <w:bCs/>
        </w:rPr>
      </w:pPr>
      <w:r>
        <w:rPr>
          <w:rFonts w:hint="eastAsia" w:ascii="宋体" w:hAnsi="宋体" w:cs="宋体"/>
          <w:b/>
          <w:bCs/>
        </w:rPr>
        <w:t>十四、平台服务费</w:t>
      </w:r>
    </w:p>
    <w:p w14:paraId="0E92C15E">
      <w:pPr>
        <w:pStyle w:val="14"/>
        <w:spacing w:line="360" w:lineRule="auto"/>
        <w:ind w:firstLine="420" w:firstLineChars="200"/>
      </w:pPr>
      <w:r>
        <w:rPr>
          <w:rFonts w:hint="eastAsia"/>
        </w:rPr>
        <w:t>1、中选人须入驻渝e招阳光智采平台（www.yangguangguoqi.com），上架中选产品至商城（上架金额与中选金额一致），并缴纳10000元（大写：壹万元整）交易风险金，交易结束原路退回。</w:t>
      </w:r>
    </w:p>
    <w:p w14:paraId="2F10F589">
      <w:pPr>
        <w:pStyle w:val="14"/>
        <w:spacing w:line="360" w:lineRule="auto"/>
        <w:ind w:firstLine="420" w:firstLineChars="200"/>
      </w:pPr>
      <w:r>
        <w:rPr>
          <w:rFonts w:hint="eastAsia"/>
        </w:rPr>
        <w:t>2、中选人应缴纳服务费为中选总金额3%的“渝e招阳光智采平台”平台服务费，此费用询比申请人自行考虑到响应报价中。</w:t>
      </w:r>
    </w:p>
    <w:p w14:paraId="38A86010">
      <w:pPr>
        <w:pStyle w:val="14"/>
        <w:spacing w:line="360" w:lineRule="auto"/>
        <w:ind w:firstLine="420" w:firstLineChars="200"/>
      </w:pPr>
      <w:r>
        <w:rPr>
          <w:rFonts w:hint="eastAsia"/>
        </w:rPr>
        <w:t>3、渝e招阳光智采平台客服热线：400-967-1198</w:t>
      </w:r>
    </w:p>
    <w:p w14:paraId="2E7A10BE">
      <w:pPr>
        <w:spacing w:line="360" w:lineRule="auto"/>
        <w:rPr>
          <w:rFonts w:ascii="宋体"/>
        </w:rPr>
      </w:pPr>
    </w:p>
    <w:p w14:paraId="1BE11514">
      <w:pPr>
        <w:spacing w:line="360" w:lineRule="auto"/>
        <w:rPr>
          <w:rFonts w:ascii="宋体"/>
        </w:rPr>
      </w:pPr>
    </w:p>
    <w:p w14:paraId="24F261C1">
      <w:pPr>
        <w:pStyle w:val="8"/>
        <w:rPr>
          <w:rFonts w:hint="eastAsia"/>
        </w:rPr>
      </w:pPr>
    </w:p>
    <w:p w14:paraId="019CF984">
      <w:pPr>
        <w:rPr>
          <w:rFonts w:ascii="宋体"/>
        </w:rPr>
      </w:pPr>
    </w:p>
    <w:p w14:paraId="7E1CEC9B">
      <w:pPr>
        <w:pStyle w:val="8"/>
        <w:rPr>
          <w:rFonts w:hint="eastAsia"/>
        </w:rPr>
      </w:pPr>
    </w:p>
    <w:p w14:paraId="36ADE43B">
      <w:pPr>
        <w:rPr>
          <w:rFonts w:ascii="宋体"/>
        </w:rPr>
      </w:pPr>
    </w:p>
    <w:p w14:paraId="48197C6E">
      <w:pPr>
        <w:pStyle w:val="8"/>
        <w:rPr>
          <w:rFonts w:hint="eastAsia"/>
        </w:rPr>
      </w:pPr>
    </w:p>
    <w:p w14:paraId="14C76F5D">
      <w:pPr>
        <w:rPr>
          <w:rFonts w:ascii="宋体"/>
        </w:rPr>
      </w:pPr>
    </w:p>
    <w:p w14:paraId="42080FBD">
      <w:pPr>
        <w:pStyle w:val="8"/>
        <w:rPr>
          <w:rFonts w:hint="eastAsia"/>
        </w:rPr>
      </w:pPr>
    </w:p>
    <w:p w14:paraId="4A508E0A">
      <w:pPr>
        <w:rPr>
          <w:rFonts w:ascii="宋体"/>
        </w:rPr>
      </w:pPr>
    </w:p>
    <w:p w14:paraId="0F66014F">
      <w:pPr>
        <w:pStyle w:val="8"/>
        <w:rPr>
          <w:rFonts w:hint="eastAsia"/>
        </w:rPr>
      </w:pPr>
    </w:p>
    <w:p w14:paraId="574CE7D9">
      <w:pPr>
        <w:rPr>
          <w:rFonts w:ascii="宋体"/>
        </w:rPr>
      </w:pPr>
    </w:p>
    <w:p w14:paraId="3C6759DB">
      <w:pPr>
        <w:pStyle w:val="8"/>
        <w:rPr>
          <w:rFonts w:hint="eastAsia"/>
        </w:rPr>
      </w:pPr>
    </w:p>
    <w:p w14:paraId="63EF0138">
      <w:pPr>
        <w:rPr>
          <w:rFonts w:ascii="宋体"/>
        </w:rPr>
      </w:pPr>
    </w:p>
    <w:p w14:paraId="630EB94D"/>
    <w:p w14:paraId="46E7B7C2">
      <w:pPr>
        <w:snapToGrid w:val="0"/>
        <w:spacing w:line="360" w:lineRule="auto"/>
        <w:outlineLvl w:val="0"/>
        <w:rPr>
          <w:rFonts w:hint="eastAsia" w:ascii="宋体" w:hAnsi="宋体" w:cs="宋体"/>
          <w:b/>
          <w:bCs/>
          <w:sz w:val="28"/>
          <w:szCs w:val="28"/>
        </w:rPr>
      </w:pPr>
    </w:p>
    <w:p w14:paraId="3C505C2E">
      <w:pPr>
        <w:snapToGrid w:val="0"/>
        <w:spacing w:line="360" w:lineRule="auto"/>
        <w:ind w:firstLine="630" w:firstLineChars="224"/>
        <w:jc w:val="center"/>
        <w:outlineLvl w:val="0"/>
        <w:rPr>
          <w:rFonts w:hint="eastAsia" w:ascii="宋体" w:hAnsi="宋体" w:cs="宋体"/>
          <w:b/>
          <w:bCs/>
          <w:sz w:val="28"/>
          <w:szCs w:val="28"/>
        </w:rPr>
      </w:pPr>
    </w:p>
    <w:p w14:paraId="2E25E060">
      <w:pPr>
        <w:snapToGrid w:val="0"/>
        <w:spacing w:line="360" w:lineRule="auto"/>
        <w:ind w:firstLine="630" w:firstLineChars="224"/>
        <w:jc w:val="center"/>
        <w:outlineLvl w:val="0"/>
        <w:rPr>
          <w:rFonts w:hint="eastAsia" w:ascii="宋体" w:hAnsi="宋体" w:cs="宋体"/>
          <w:b/>
          <w:bCs/>
          <w:sz w:val="28"/>
          <w:szCs w:val="28"/>
        </w:rPr>
      </w:pPr>
    </w:p>
    <w:p w14:paraId="47820012">
      <w:pPr>
        <w:snapToGrid w:val="0"/>
        <w:spacing w:line="360" w:lineRule="auto"/>
        <w:ind w:firstLine="630" w:firstLineChars="224"/>
        <w:jc w:val="center"/>
        <w:outlineLvl w:val="0"/>
        <w:rPr>
          <w:rFonts w:hint="eastAsia" w:ascii="宋体" w:hAnsi="宋体" w:cs="宋体"/>
          <w:b/>
          <w:bCs/>
          <w:sz w:val="28"/>
          <w:szCs w:val="28"/>
        </w:rPr>
      </w:pPr>
    </w:p>
    <w:p w14:paraId="486F44B3">
      <w:pPr>
        <w:snapToGrid w:val="0"/>
        <w:spacing w:line="360" w:lineRule="auto"/>
        <w:ind w:firstLine="630" w:firstLineChars="224"/>
        <w:jc w:val="center"/>
        <w:outlineLvl w:val="0"/>
        <w:rPr>
          <w:rFonts w:hint="eastAsia" w:ascii="宋体" w:hAnsi="宋体" w:cs="宋体"/>
          <w:b/>
          <w:bCs/>
          <w:sz w:val="28"/>
          <w:szCs w:val="28"/>
        </w:rPr>
      </w:pPr>
    </w:p>
    <w:p w14:paraId="789627FF">
      <w:pPr>
        <w:snapToGrid w:val="0"/>
        <w:spacing w:line="360" w:lineRule="auto"/>
        <w:ind w:firstLine="630" w:firstLineChars="224"/>
        <w:jc w:val="center"/>
        <w:outlineLvl w:val="0"/>
        <w:rPr>
          <w:rFonts w:hint="eastAsia" w:ascii="宋体" w:hAnsi="宋体" w:cs="宋体"/>
          <w:b/>
          <w:bCs/>
          <w:sz w:val="28"/>
          <w:szCs w:val="28"/>
        </w:rPr>
      </w:pPr>
    </w:p>
    <w:p w14:paraId="0BDA0F30">
      <w:pPr>
        <w:snapToGrid w:val="0"/>
        <w:spacing w:line="360" w:lineRule="auto"/>
        <w:ind w:firstLine="630" w:firstLineChars="224"/>
        <w:jc w:val="center"/>
        <w:outlineLvl w:val="0"/>
        <w:rPr>
          <w:rFonts w:hint="eastAsia" w:ascii="宋体" w:hAnsi="宋体" w:cs="宋体"/>
          <w:b/>
          <w:bCs/>
          <w:sz w:val="28"/>
          <w:szCs w:val="28"/>
        </w:rPr>
      </w:pPr>
    </w:p>
    <w:p w14:paraId="5C81A903">
      <w:pPr>
        <w:snapToGrid w:val="0"/>
        <w:spacing w:line="360" w:lineRule="auto"/>
        <w:ind w:firstLine="630" w:firstLineChars="224"/>
        <w:jc w:val="center"/>
        <w:outlineLvl w:val="0"/>
        <w:rPr>
          <w:rFonts w:hint="eastAsia" w:ascii="宋体" w:hAnsi="宋体" w:cs="宋体"/>
          <w:b/>
          <w:bCs/>
          <w:sz w:val="28"/>
          <w:szCs w:val="28"/>
        </w:rPr>
      </w:pPr>
    </w:p>
    <w:p w14:paraId="45176B7A">
      <w:pPr>
        <w:snapToGrid w:val="0"/>
        <w:spacing w:line="360" w:lineRule="auto"/>
        <w:ind w:firstLine="630" w:firstLineChars="224"/>
        <w:jc w:val="center"/>
        <w:outlineLvl w:val="0"/>
        <w:rPr>
          <w:rFonts w:hint="eastAsia" w:ascii="宋体" w:hAnsi="宋体" w:cs="宋体"/>
          <w:b/>
          <w:bCs/>
          <w:sz w:val="28"/>
          <w:szCs w:val="28"/>
        </w:rPr>
      </w:pPr>
    </w:p>
    <w:p w14:paraId="0F73D511">
      <w:pPr>
        <w:snapToGrid w:val="0"/>
        <w:spacing w:line="360" w:lineRule="auto"/>
        <w:ind w:firstLine="630" w:firstLineChars="224"/>
        <w:jc w:val="center"/>
        <w:outlineLvl w:val="0"/>
        <w:rPr>
          <w:rFonts w:hint="eastAsia" w:ascii="宋体" w:hAnsi="宋体" w:cs="宋体"/>
          <w:b/>
          <w:bCs/>
          <w:sz w:val="28"/>
          <w:szCs w:val="28"/>
        </w:rPr>
      </w:pPr>
    </w:p>
    <w:p w14:paraId="3B1AE7E6">
      <w:pPr>
        <w:snapToGrid w:val="0"/>
        <w:spacing w:line="360" w:lineRule="auto"/>
        <w:ind w:firstLine="630" w:firstLineChars="224"/>
        <w:jc w:val="center"/>
        <w:outlineLvl w:val="0"/>
        <w:rPr>
          <w:rFonts w:hint="eastAsia" w:ascii="宋体" w:hAnsi="宋体" w:cs="宋体"/>
          <w:b/>
          <w:bCs/>
          <w:sz w:val="28"/>
          <w:szCs w:val="28"/>
        </w:rPr>
      </w:pPr>
    </w:p>
    <w:p w14:paraId="58B82616">
      <w:pPr>
        <w:snapToGrid w:val="0"/>
        <w:spacing w:line="360" w:lineRule="auto"/>
        <w:ind w:firstLine="630" w:firstLineChars="224"/>
        <w:jc w:val="center"/>
        <w:outlineLvl w:val="0"/>
        <w:rPr>
          <w:rFonts w:ascii="宋体" w:hAnsi="宋体" w:cs="宋体"/>
          <w:b/>
          <w:bCs/>
          <w:sz w:val="28"/>
          <w:szCs w:val="28"/>
        </w:rPr>
      </w:pPr>
    </w:p>
    <w:p w14:paraId="29049E6A">
      <w:pPr>
        <w:snapToGrid w:val="0"/>
        <w:spacing w:line="360" w:lineRule="auto"/>
        <w:ind w:firstLine="630" w:firstLineChars="224"/>
        <w:jc w:val="center"/>
        <w:outlineLvl w:val="0"/>
        <w:rPr>
          <w:rFonts w:ascii="宋体" w:hAnsi="宋体" w:cs="宋体"/>
          <w:b/>
          <w:bCs/>
          <w:sz w:val="28"/>
          <w:szCs w:val="28"/>
        </w:rPr>
      </w:pPr>
    </w:p>
    <w:p w14:paraId="37064A06">
      <w:pPr>
        <w:snapToGrid w:val="0"/>
        <w:spacing w:line="360" w:lineRule="auto"/>
        <w:ind w:firstLine="630" w:firstLineChars="224"/>
        <w:jc w:val="center"/>
        <w:outlineLvl w:val="0"/>
        <w:rPr>
          <w:rFonts w:ascii="宋体" w:hAnsi="宋体" w:cs="宋体"/>
          <w:b/>
          <w:bCs/>
          <w:sz w:val="28"/>
          <w:szCs w:val="28"/>
        </w:rPr>
      </w:pPr>
    </w:p>
    <w:p w14:paraId="3C02CB1E">
      <w:pPr>
        <w:snapToGrid w:val="0"/>
        <w:spacing w:line="360" w:lineRule="auto"/>
        <w:ind w:firstLine="630" w:firstLineChars="224"/>
        <w:jc w:val="center"/>
        <w:outlineLvl w:val="0"/>
        <w:rPr>
          <w:rFonts w:ascii="宋体" w:hAnsi="宋体" w:cs="宋体"/>
          <w:b/>
          <w:bCs/>
          <w:sz w:val="28"/>
          <w:szCs w:val="28"/>
        </w:rPr>
      </w:pPr>
    </w:p>
    <w:p w14:paraId="3418BB78">
      <w:pPr>
        <w:snapToGrid w:val="0"/>
        <w:spacing w:line="360" w:lineRule="auto"/>
        <w:ind w:firstLine="630" w:firstLineChars="224"/>
        <w:jc w:val="center"/>
        <w:outlineLvl w:val="0"/>
        <w:rPr>
          <w:rFonts w:hint="eastAsia" w:ascii="宋体" w:hAnsi="宋体" w:cs="宋体"/>
          <w:b/>
          <w:bCs/>
          <w:sz w:val="28"/>
          <w:szCs w:val="28"/>
        </w:rPr>
      </w:pPr>
    </w:p>
    <w:p w14:paraId="42815FD3">
      <w:pPr>
        <w:snapToGrid w:val="0"/>
        <w:spacing w:line="360" w:lineRule="auto"/>
        <w:ind w:firstLine="630" w:firstLineChars="224"/>
        <w:jc w:val="center"/>
        <w:outlineLvl w:val="0"/>
        <w:rPr>
          <w:rFonts w:ascii="宋体"/>
          <w:b/>
          <w:bCs/>
          <w:sz w:val="28"/>
          <w:szCs w:val="28"/>
        </w:rPr>
      </w:pPr>
      <w:bookmarkStart w:id="46" w:name="_Toc15388"/>
      <w:r>
        <w:rPr>
          <w:rFonts w:hint="eastAsia" w:ascii="宋体" w:hAnsi="宋体" w:cs="宋体"/>
          <w:b/>
          <w:bCs/>
          <w:sz w:val="28"/>
          <w:szCs w:val="28"/>
        </w:rPr>
        <w:t>第三部分 响应文件格式</w:t>
      </w:r>
      <w:bookmarkEnd w:id="46"/>
    </w:p>
    <w:p w14:paraId="7845ED07">
      <w:pPr>
        <w:snapToGrid w:val="0"/>
        <w:spacing w:line="360" w:lineRule="auto"/>
        <w:ind w:firstLine="472" w:firstLineChars="224"/>
        <w:jc w:val="center"/>
        <w:rPr>
          <w:rFonts w:ascii="宋体"/>
          <w:b/>
          <w:bCs/>
        </w:rPr>
      </w:pPr>
      <w:r>
        <w:rPr>
          <w:rFonts w:ascii="宋体"/>
          <w:b/>
          <w:bCs/>
        </w:rPr>
        <w:br w:type="page"/>
      </w:r>
    </w:p>
    <w:p w14:paraId="2DA31B68">
      <w:pPr>
        <w:spacing w:line="360" w:lineRule="auto"/>
        <w:jc w:val="left"/>
        <w:rPr>
          <w:rFonts w:ascii="宋体"/>
          <w:sz w:val="28"/>
          <w:szCs w:val="28"/>
        </w:rPr>
      </w:pPr>
      <w:bookmarkStart w:id="47" w:name="_Toc3512"/>
      <w:bookmarkStart w:id="48" w:name="_Toc10647"/>
      <w:bookmarkStart w:id="49" w:name="_Toc120633480"/>
      <w:r>
        <w:rPr>
          <w:rFonts w:ascii="宋体" w:hAnsi="宋体" w:cs="宋体"/>
          <w:b/>
          <w:bCs/>
          <w:sz w:val="28"/>
          <w:szCs w:val="28"/>
        </w:rPr>
        <w:t>(</w:t>
      </w:r>
      <w:r>
        <w:rPr>
          <w:rFonts w:hint="eastAsia" w:ascii="宋体" w:hAnsi="宋体" w:cs="宋体"/>
          <w:b/>
          <w:bCs/>
          <w:sz w:val="28"/>
          <w:szCs w:val="28"/>
        </w:rPr>
        <w:t>正</w:t>
      </w:r>
      <w:r>
        <w:rPr>
          <w:rFonts w:ascii="宋体" w:hAnsi="宋体" w:cs="宋体"/>
          <w:b/>
          <w:bCs/>
          <w:sz w:val="28"/>
          <w:szCs w:val="28"/>
        </w:rPr>
        <w:t>/</w:t>
      </w:r>
      <w:r>
        <w:rPr>
          <w:rFonts w:hint="eastAsia" w:ascii="宋体" w:hAnsi="宋体" w:cs="宋体"/>
          <w:b/>
          <w:bCs/>
          <w:sz w:val="28"/>
          <w:szCs w:val="28"/>
        </w:rPr>
        <w:t>副本</w:t>
      </w:r>
      <w:r>
        <w:rPr>
          <w:rFonts w:ascii="宋体" w:hAnsi="宋体" w:cs="宋体"/>
          <w:b/>
          <w:bCs/>
          <w:sz w:val="28"/>
          <w:szCs w:val="28"/>
        </w:rPr>
        <w:t>)</w:t>
      </w:r>
      <w:bookmarkEnd w:id="47"/>
      <w:bookmarkEnd w:id="48"/>
      <w:bookmarkEnd w:id="49"/>
    </w:p>
    <w:p w14:paraId="655F33FA">
      <w:pPr>
        <w:spacing w:line="360" w:lineRule="auto"/>
        <w:jc w:val="left"/>
        <w:rPr>
          <w:rFonts w:ascii="宋体"/>
          <w:sz w:val="32"/>
          <w:szCs w:val="32"/>
        </w:rPr>
      </w:pPr>
    </w:p>
    <w:p w14:paraId="1059FDCD">
      <w:pPr>
        <w:spacing w:line="360" w:lineRule="auto"/>
        <w:jc w:val="left"/>
        <w:rPr>
          <w:rFonts w:ascii="宋体"/>
          <w:sz w:val="32"/>
          <w:szCs w:val="32"/>
        </w:rPr>
      </w:pPr>
    </w:p>
    <w:p w14:paraId="676A5E3D">
      <w:pPr>
        <w:spacing w:line="360" w:lineRule="auto"/>
        <w:jc w:val="left"/>
        <w:rPr>
          <w:rFonts w:ascii="宋体"/>
          <w:sz w:val="28"/>
          <w:szCs w:val="28"/>
        </w:rPr>
      </w:pPr>
    </w:p>
    <w:p w14:paraId="76AE2FE9">
      <w:pPr>
        <w:spacing w:line="360" w:lineRule="auto"/>
        <w:jc w:val="center"/>
        <w:rPr>
          <w:rFonts w:ascii="宋体"/>
          <w:sz w:val="28"/>
          <w:szCs w:val="28"/>
        </w:rPr>
      </w:pPr>
      <w:r>
        <w:rPr>
          <w:rFonts w:hint="eastAsia" w:ascii="宋体" w:hAnsi="宋体" w:cs="宋体"/>
          <w:b/>
          <w:bCs/>
          <w:sz w:val="72"/>
          <w:szCs w:val="72"/>
        </w:rPr>
        <w:t>响应文件</w:t>
      </w:r>
    </w:p>
    <w:p w14:paraId="1370F11D">
      <w:pPr>
        <w:spacing w:line="360" w:lineRule="auto"/>
        <w:jc w:val="left"/>
        <w:rPr>
          <w:rFonts w:ascii="宋体"/>
          <w:sz w:val="28"/>
          <w:szCs w:val="28"/>
        </w:rPr>
      </w:pPr>
    </w:p>
    <w:p w14:paraId="6EDE9590">
      <w:pPr>
        <w:spacing w:line="360" w:lineRule="auto"/>
        <w:jc w:val="left"/>
        <w:rPr>
          <w:rFonts w:ascii="宋体"/>
          <w:sz w:val="28"/>
          <w:szCs w:val="28"/>
        </w:rPr>
      </w:pPr>
    </w:p>
    <w:p w14:paraId="6C1C9FB5">
      <w:pPr>
        <w:spacing w:line="360" w:lineRule="auto"/>
        <w:jc w:val="left"/>
        <w:rPr>
          <w:rFonts w:ascii="宋体"/>
          <w:sz w:val="28"/>
          <w:szCs w:val="28"/>
        </w:rPr>
      </w:pPr>
    </w:p>
    <w:p w14:paraId="2127E043">
      <w:pPr>
        <w:spacing w:line="360" w:lineRule="auto"/>
        <w:jc w:val="left"/>
        <w:rPr>
          <w:rFonts w:ascii="宋体"/>
          <w:sz w:val="28"/>
          <w:szCs w:val="28"/>
        </w:rPr>
      </w:pPr>
    </w:p>
    <w:p w14:paraId="11D32769">
      <w:pPr>
        <w:spacing w:line="360" w:lineRule="auto"/>
        <w:jc w:val="left"/>
        <w:rPr>
          <w:rFonts w:ascii="宋体"/>
          <w:sz w:val="28"/>
          <w:szCs w:val="28"/>
        </w:rPr>
      </w:pPr>
    </w:p>
    <w:p w14:paraId="6C9B9C0B">
      <w:pPr>
        <w:spacing w:line="360" w:lineRule="auto"/>
        <w:jc w:val="left"/>
        <w:rPr>
          <w:rFonts w:ascii="宋体"/>
          <w:sz w:val="28"/>
          <w:szCs w:val="28"/>
        </w:rPr>
      </w:pPr>
    </w:p>
    <w:p w14:paraId="28BE34FA">
      <w:pPr>
        <w:spacing w:line="360" w:lineRule="auto"/>
        <w:ind w:firstLine="1120" w:firstLineChars="400"/>
        <w:rPr>
          <w:rFonts w:ascii="宋体"/>
          <w:sz w:val="28"/>
          <w:szCs w:val="28"/>
          <w:u w:val="single"/>
        </w:rPr>
      </w:pPr>
      <w:bookmarkStart w:id="50" w:name="_Toc120633482"/>
      <w:bookmarkStart w:id="51" w:name="_Toc19213"/>
      <w:bookmarkStart w:id="52" w:name="_Toc15178"/>
      <w:r>
        <w:rPr>
          <w:rFonts w:hint="eastAsia" w:ascii="宋体" w:hAnsi="宋体" w:cs="宋体"/>
          <w:sz w:val="28"/>
          <w:szCs w:val="28"/>
        </w:rPr>
        <w:t>项目名称：</w:t>
      </w:r>
      <w:bookmarkEnd w:id="50"/>
      <w:bookmarkEnd w:id="51"/>
      <w:bookmarkEnd w:id="52"/>
    </w:p>
    <w:p w14:paraId="240332B7">
      <w:pPr>
        <w:spacing w:line="360" w:lineRule="auto"/>
        <w:ind w:firstLine="1120" w:firstLineChars="400"/>
        <w:rPr>
          <w:rFonts w:ascii="宋体"/>
          <w:sz w:val="28"/>
          <w:szCs w:val="28"/>
          <w:u w:val="single"/>
        </w:rPr>
      </w:pPr>
    </w:p>
    <w:p w14:paraId="29BD4C6E">
      <w:pPr>
        <w:spacing w:line="360" w:lineRule="auto"/>
        <w:ind w:firstLine="1120" w:firstLineChars="400"/>
        <w:rPr>
          <w:rFonts w:ascii="宋体"/>
          <w:sz w:val="28"/>
          <w:szCs w:val="28"/>
          <w:u w:val="single"/>
        </w:rPr>
      </w:pPr>
      <w:bookmarkStart w:id="53" w:name="_Toc21195"/>
      <w:bookmarkStart w:id="54" w:name="_Toc17622"/>
      <w:bookmarkStart w:id="55" w:name="_Toc120633483"/>
      <w:r>
        <w:rPr>
          <w:rFonts w:hint="eastAsia" w:ascii="宋体" w:hAnsi="宋体" w:cs="宋体"/>
          <w:sz w:val="28"/>
          <w:szCs w:val="28"/>
        </w:rPr>
        <w:t>询比申请人</w:t>
      </w:r>
      <w:r>
        <w:rPr>
          <w:rFonts w:ascii="宋体" w:hAnsi="宋体" w:cs="宋体"/>
          <w:sz w:val="28"/>
          <w:szCs w:val="28"/>
        </w:rPr>
        <w:t>:</w:t>
      </w:r>
      <w:r>
        <w:rPr>
          <w:rFonts w:hint="eastAsia" w:ascii="宋体" w:hAnsi="宋体" w:cs="宋体"/>
          <w:sz w:val="28"/>
          <w:szCs w:val="28"/>
          <w:u w:val="single"/>
        </w:rPr>
        <w:t>（盖章）</w:t>
      </w:r>
      <w:bookmarkEnd w:id="53"/>
      <w:bookmarkEnd w:id="54"/>
      <w:bookmarkEnd w:id="55"/>
    </w:p>
    <w:p w14:paraId="5E29E968">
      <w:pPr>
        <w:spacing w:line="360" w:lineRule="auto"/>
        <w:ind w:firstLine="1120" w:firstLineChars="400"/>
        <w:rPr>
          <w:rFonts w:ascii="宋体"/>
          <w:sz w:val="28"/>
          <w:szCs w:val="28"/>
          <w:u w:val="single"/>
        </w:rPr>
      </w:pPr>
    </w:p>
    <w:p w14:paraId="08EC25A2">
      <w:pPr>
        <w:spacing w:line="360" w:lineRule="auto"/>
        <w:ind w:firstLine="1120" w:firstLineChars="400"/>
        <w:jc w:val="left"/>
        <w:rPr>
          <w:rFonts w:ascii="宋体"/>
          <w:sz w:val="28"/>
          <w:szCs w:val="28"/>
          <w:u w:val="single"/>
        </w:rPr>
      </w:pPr>
      <w:bookmarkStart w:id="56" w:name="_Toc21790"/>
      <w:bookmarkStart w:id="57" w:name="_Toc120633484"/>
      <w:bookmarkStart w:id="58" w:name="_Toc20741"/>
      <w:r>
        <w:rPr>
          <w:rFonts w:hint="eastAsia" w:ascii="宋体" w:hAnsi="宋体" w:cs="宋体"/>
          <w:sz w:val="28"/>
          <w:szCs w:val="28"/>
        </w:rPr>
        <w:t>法定代表人或其委托代理人</w:t>
      </w:r>
      <w:r>
        <w:rPr>
          <w:rFonts w:ascii="宋体" w:hAnsi="宋体" w:cs="宋体"/>
          <w:sz w:val="28"/>
          <w:szCs w:val="28"/>
        </w:rPr>
        <w:t>:</w:t>
      </w:r>
      <w:r>
        <w:rPr>
          <w:rFonts w:hint="eastAsia" w:ascii="宋体" w:hAnsi="宋体" w:cs="宋体"/>
          <w:sz w:val="28"/>
          <w:szCs w:val="28"/>
          <w:u w:val="single"/>
        </w:rPr>
        <w:t>　　　　　（签名或盖章）</w:t>
      </w:r>
      <w:bookmarkEnd w:id="56"/>
      <w:bookmarkEnd w:id="57"/>
      <w:bookmarkEnd w:id="58"/>
    </w:p>
    <w:p w14:paraId="666C6C13">
      <w:pPr>
        <w:spacing w:line="360" w:lineRule="auto"/>
        <w:ind w:firstLine="1120" w:firstLineChars="400"/>
        <w:jc w:val="left"/>
        <w:rPr>
          <w:rFonts w:ascii="宋体"/>
          <w:sz w:val="28"/>
          <w:szCs w:val="28"/>
        </w:rPr>
      </w:pPr>
    </w:p>
    <w:p w14:paraId="687B05E4">
      <w:pPr>
        <w:spacing w:line="360" w:lineRule="auto"/>
        <w:ind w:firstLine="1120" w:firstLineChars="400"/>
        <w:rPr>
          <w:rFonts w:ascii="宋体"/>
          <w:sz w:val="28"/>
          <w:szCs w:val="28"/>
          <w:u w:val="single"/>
        </w:rPr>
      </w:pPr>
      <w:bookmarkStart w:id="59" w:name="_Toc627"/>
      <w:bookmarkStart w:id="60" w:name="_Toc2482"/>
      <w:bookmarkStart w:id="61" w:name="_Toc120633485"/>
      <w:r>
        <w:rPr>
          <w:rFonts w:hint="eastAsia" w:ascii="宋体" w:hAnsi="宋体" w:cs="宋体"/>
          <w:sz w:val="28"/>
          <w:szCs w:val="28"/>
        </w:rPr>
        <w:t>地址：</w:t>
      </w:r>
      <w:bookmarkEnd w:id="59"/>
      <w:bookmarkEnd w:id="60"/>
      <w:bookmarkEnd w:id="61"/>
    </w:p>
    <w:p w14:paraId="529DF8BC">
      <w:pPr>
        <w:spacing w:line="360" w:lineRule="auto"/>
        <w:ind w:firstLine="1120" w:firstLineChars="400"/>
        <w:rPr>
          <w:rFonts w:ascii="宋体"/>
          <w:sz w:val="28"/>
          <w:szCs w:val="28"/>
          <w:u w:val="single"/>
        </w:rPr>
      </w:pPr>
    </w:p>
    <w:p w14:paraId="115C1646">
      <w:pPr>
        <w:snapToGrid w:val="0"/>
        <w:spacing w:line="360" w:lineRule="auto"/>
        <w:ind w:firstLine="1184" w:firstLineChars="423"/>
        <w:rPr>
          <w:rFonts w:hint="eastAsia" w:ascii="宋体" w:hAnsi="宋体"/>
          <w:b/>
          <w:sz w:val="36"/>
          <w:szCs w:val="36"/>
        </w:rPr>
      </w:pPr>
      <w:bookmarkStart w:id="62" w:name="_Toc120633486"/>
      <w:bookmarkStart w:id="63" w:name="_Toc6842"/>
      <w:bookmarkStart w:id="64" w:name="_Toc237"/>
      <w:r>
        <w:rPr>
          <w:rFonts w:hint="eastAsia" w:ascii="宋体" w:hAnsi="宋体" w:cs="宋体"/>
          <w:sz w:val="28"/>
          <w:szCs w:val="28"/>
        </w:rPr>
        <w:t>日期：年月日</w:t>
      </w:r>
      <w:bookmarkEnd w:id="62"/>
      <w:r>
        <w:rPr>
          <w:rFonts w:ascii="宋体"/>
          <w:b/>
          <w:bCs/>
        </w:rPr>
        <w:br w:type="page"/>
      </w:r>
      <w:bookmarkEnd w:id="63"/>
      <w:bookmarkEnd w:id="64"/>
      <w:bookmarkStart w:id="65" w:name="_Toc509218855"/>
      <w:bookmarkStart w:id="66" w:name="_Toc14319"/>
      <w:bookmarkStart w:id="67" w:name="_Toc534185832"/>
      <w:bookmarkStart w:id="68" w:name="_Toc219178931"/>
    </w:p>
    <w:p w14:paraId="14CF23F8">
      <w:pPr>
        <w:spacing w:line="520" w:lineRule="exact"/>
        <w:jc w:val="center"/>
        <w:rPr>
          <w:b/>
          <w:snapToGrid w:val="0"/>
        </w:rPr>
      </w:pPr>
      <w:r>
        <w:rPr>
          <w:rFonts w:hint="eastAsia" w:ascii="宋体" w:hAnsi="宋体"/>
          <w:b/>
          <w:sz w:val="36"/>
          <w:szCs w:val="36"/>
        </w:rPr>
        <w:t>询比申请函</w:t>
      </w:r>
    </w:p>
    <w:p w14:paraId="1F96154E">
      <w:pPr>
        <w:spacing w:line="360" w:lineRule="auto"/>
        <w:ind w:firstLine="420" w:firstLineChars="200"/>
        <w:rPr>
          <w:rFonts w:hint="eastAsia" w:ascii="宋体" w:hAnsi="宋体"/>
        </w:rPr>
      </w:pPr>
      <w:r>
        <w:rPr>
          <w:rFonts w:hint="eastAsia" w:ascii="宋体" w:hAnsi="宋体"/>
        </w:rPr>
        <w:t>致：（采购人名称）</w:t>
      </w:r>
    </w:p>
    <w:p w14:paraId="69A39ED5">
      <w:pPr>
        <w:spacing w:line="360" w:lineRule="auto"/>
        <w:ind w:firstLine="420" w:firstLineChars="200"/>
        <w:rPr>
          <w:rFonts w:hint="eastAsia" w:ascii="宋体" w:hAnsi="宋体"/>
          <w:u w:val="single"/>
        </w:rPr>
      </w:pPr>
      <w:r>
        <w:rPr>
          <w:rFonts w:hint="eastAsia" w:ascii="宋体" w:hAnsi="宋体"/>
        </w:rPr>
        <w:t>1.我们已经仔细地研究了</w:t>
      </w:r>
      <w:r>
        <w:rPr>
          <w:rFonts w:hint="eastAsia" w:ascii="宋体" w:hAnsi="宋体" w:cs="宋体"/>
          <w:color w:val="0000FF"/>
          <w:u w:val="single"/>
        </w:rPr>
        <w:t>重庆市政府采购中心财税咨询服务采购</w:t>
      </w:r>
      <w:r>
        <w:rPr>
          <w:rFonts w:hint="eastAsia" w:ascii="宋体" w:hAnsi="宋体"/>
          <w:color w:val="0000FF"/>
          <w:u w:val="single"/>
        </w:rPr>
        <w:t>（项目名称）</w:t>
      </w:r>
      <w:r>
        <w:rPr>
          <w:rFonts w:hint="eastAsia" w:ascii="宋体" w:hAnsi="宋体"/>
        </w:rPr>
        <w:t>的全部内容，包括但不限于询比文件、合同条款以及全部答疑补遗和澄清文件。我们已了解全部询比文件，并完全理解了询比文件规定的</w:t>
      </w:r>
      <w:r>
        <w:rPr>
          <w:rFonts w:hint="eastAsia" w:ascii="宋体" w:hAnsi="宋体" w:cs="宋体"/>
          <w:color w:val="0000FF"/>
          <w:u w:val="single"/>
        </w:rPr>
        <w:t>重庆市政府采购中心财税咨询服务采购</w:t>
      </w:r>
      <w:r>
        <w:rPr>
          <w:rFonts w:hint="eastAsia" w:ascii="宋体" w:hAnsi="宋体"/>
          <w:color w:val="0000FF"/>
          <w:u w:val="single"/>
        </w:rPr>
        <w:t>（项目名称）</w:t>
      </w:r>
      <w:r>
        <w:rPr>
          <w:rFonts w:hint="eastAsia" w:ascii="宋体" w:hAnsi="宋体"/>
        </w:rPr>
        <w:t>的合同范围、工作要求，并考虑到了潜在所有风险。据此，我们承诺</w:t>
      </w:r>
      <w:r>
        <w:rPr>
          <w:rFonts w:hint="eastAsia" w:ascii="宋体"/>
        </w:rPr>
        <w:t>所递交的响应文件资料内容完整、真实和准确，且完全响应采购人发布的询比文件、限价及合同条款等附件中的所有内容，不存在弄虚作假情形，</w:t>
      </w:r>
      <w:r>
        <w:rPr>
          <w:rFonts w:hint="eastAsia" w:ascii="宋体" w:hAnsi="宋体" w:cs="宋体"/>
          <w:kern w:val="0"/>
        </w:rPr>
        <w:t>响应文件不附有采购人不能接受的条件</w:t>
      </w:r>
      <w:r>
        <w:rPr>
          <w:rFonts w:hint="eastAsia" w:ascii="宋体" w:hAnsi="宋体"/>
        </w:rPr>
        <w:t>。</w:t>
      </w:r>
    </w:p>
    <w:p w14:paraId="451144FE">
      <w:pPr>
        <w:snapToGrid w:val="0"/>
        <w:spacing w:line="520" w:lineRule="exact"/>
        <w:rPr>
          <w:rFonts w:hint="eastAsia" w:ascii="宋体" w:hAnsi="宋体"/>
        </w:rPr>
      </w:pPr>
      <w:r>
        <w:rPr>
          <w:rFonts w:hint="eastAsia" w:ascii="宋体" w:hAnsi="宋体"/>
        </w:rPr>
        <w:t xml:space="preserve">    2.据此，我方承诺本项目响应报价为：</w:t>
      </w:r>
      <w:r>
        <w:rPr>
          <w:rFonts w:hint="eastAsia" w:ascii="宋体" w:hAnsi="宋体"/>
          <w:u w:val="single"/>
        </w:rPr>
        <w:t xml:space="preserve">       元，（大写：     ）</w:t>
      </w:r>
      <w:r>
        <w:rPr>
          <w:rFonts w:hint="eastAsia" w:ascii="宋体" w:hAnsi="宋体"/>
        </w:rPr>
        <w:t>。（报价保留小数点后两位）。服务期：</w:t>
      </w:r>
      <w:r>
        <w:rPr>
          <w:rFonts w:hint="eastAsia" w:ascii="宋体" w:hAnsi="宋体"/>
          <w:u w:val="single"/>
        </w:rPr>
        <w:t>满足询比文件要求</w:t>
      </w:r>
      <w:r>
        <w:rPr>
          <w:rFonts w:hint="eastAsia" w:ascii="宋体" w:hAnsi="宋体"/>
        </w:rPr>
        <w:t>。</w:t>
      </w:r>
    </w:p>
    <w:p w14:paraId="1DECCF6E">
      <w:pPr>
        <w:snapToGrid w:val="0"/>
        <w:spacing w:line="520" w:lineRule="exact"/>
        <w:ind w:firstLine="420" w:firstLineChars="200"/>
        <w:rPr>
          <w:rFonts w:hint="eastAsia" w:ascii="宋体" w:hAnsi="宋体"/>
        </w:rPr>
      </w:pPr>
      <w:r>
        <w:rPr>
          <w:rFonts w:hint="eastAsia" w:ascii="宋体" w:hAnsi="宋体"/>
        </w:rPr>
        <w:t>3.我们同意在从规定的递交响应文件截止之日起到询比有效期满前遵守本响应文件。且本响应文件一直对我们具有约束力，并可随时被接受中选。</w:t>
      </w:r>
    </w:p>
    <w:p w14:paraId="0EB18DB6">
      <w:pPr>
        <w:snapToGrid w:val="0"/>
        <w:spacing w:line="520" w:lineRule="exact"/>
        <w:ind w:firstLine="420" w:firstLineChars="200"/>
        <w:rPr>
          <w:rFonts w:hint="eastAsia" w:ascii="宋体" w:hAnsi="宋体"/>
        </w:rPr>
      </w:pPr>
      <w:r>
        <w:rPr>
          <w:rFonts w:hint="eastAsia" w:ascii="宋体" w:hAnsi="宋体"/>
        </w:rPr>
        <w:t>4.我司符合“合同条款”规定，响应文件未附有采购人不能接受的条件。</w:t>
      </w:r>
    </w:p>
    <w:p w14:paraId="46FA9972">
      <w:pPr>
        <w:snapToGrid w:val="0"/>
        <w:spacing w:line="520" w:lineRule="exact"/>
        <w:ind w:firstLine="420" w:firstLineChars="200"/>
        <w:rPr>
          <w:rFonts w:hint="eastAsia" w:ascii="宋体" w:hAnsi="宋体"/>
        </w:rPr>
      </w:pPr>
      <w:r>
        <w:rPr>
          <w:rFonts w:hint="eastAsia" w:ascii="宋体" w:hAnsi="宋体"/>
        </w:rPr>
        <w:t>5.如果我们中选，我们将及时签定本项目合同。</w:t>
      </w:r>
    </w:p>
    <w:p w14:paraId="16DD865B">
      <w:pPr>
        <w:snapToGrid w:val="0"/>
        <w:spacing w:line="520" w:lineRule="exact"/>
        <w:ind w:firstLine="420" w:firstLineChars="200"/>
        <w:rPr>
          <w:rFonts w:hint="eastAsia" w:ascii="宋体" w:hAnsi="宋体" w:cs="MingLiU"/>
          <w:snapToGrid w:val="0"/>
        </w:rPr>
      </w:pPr>
      <w:r>
        <w:rPr>
          <w:rFonts w:hint="eastAsia" w:ascii="宋体" w:hAnsi="宋体"/>
        </w:rPr>
        <w:t>6.在制定和签署一份正式协议书之前，本响应文件连同你方的书面中选通知，构成在我们双方之间有约束力的合同。</w:t>
      </w:r>
    </w:p>
    <w:p w14:paraId="4B77FFAA">
      <w:pPr>
        <w:tabs>
          <w:tab w:val="left" w:pos="8300"/>
        </w:tabs>
        <w:autoSpaceDE w:val="0"/>
        <w:autoSpaceDN w:val="0"/>
        <w:adjustRightInd w:val="0"/>
        <w:snapToGrid w:val="0"/>
        <w:spacing w:line="520" w:lineRule="exact"/>
        <w:ind w:right="-20" w:firstLine="3570" w:firstLineChars="1700"/>
        <w:rPr>
          <w:rFonts w:hint="eastAsia" w:ascii="宋体" w:hAnsi="宋体" w:cs="MingLiU"/>
          <w:snapToGrid w:val="0"/>
        </w:rPr>
      </w:pPr>
    </w:p>
    <w:p w14:paraId="5597F5D9">
      <w:pPr>
        <w:tabs>
          <w:tab w:val="left" w:pos="8300"/>
        </w:tabs>
        <w:autoSpaceDE w:val="0"/>
        <w:autoSpaceDN w:val="0"/>
        <w:adjustRightInd w:val="0"/>
        <w:snapToGrid w:val="0"/>
        <w:spacing w:line="520" w:lineRule="exact"/>
        <w:ind w:right="-20" w:firstLine="3570" w:firstLineChars="1700"/>
        <w:rPr>
          <w:rFonts w:hint="eastAsia" w:ascii="宋体" w:hAnsi="宋体" w:cs="MingLiU"/>
          <w:snapToGrid w:val="0"/>
        </w:rPr>
      </w:pPr>
    </w:p>
    <w:p w14:paraId="41BF5E8C">
      <w:pPr>
        <w:tabs>
          <w:tab w:val="left" w:pos="8300"/>
        </w:tabs>
        <w:autoSpaceDE w:val="0"/>
        <w:autoSpaceDN w:val="0"/>
        <w:adjustRightInd w:val="0"/>
        <w:snapToGrid w:val="0"/>
        <w:spacing w:line="520" w:lineRule="exact"/>
        <w:ind w:right="-20" w:firstLine="3570" w:firstLineChars="1700"/>
        <w:rPr>
          <w:rFonts w:hint="eastAsia" w:ascii="宋体" w:hAnsi="宋体" w:cs="MingLiU"/>
          <w:snapToGrid w:val="0"/>
          <w:u w:val="single"/>
        </w:rPr>
      </w:pPr>
      <w:r>
        <w:rPr>
          <w:rFonts w:hint="eastAsia" w:ascii="宋体" w:hAnsi="宋体" w:cs="MingLiU"/>
          <w:snapToGrid w:val="0"/>
          <w:u w:val="single"/>
        </w:rPr>
        <w:t xml:space="preserve">询比申请人：（盖章）         </w:t>
      </w:r>
    </w:p>
    <w:p w14:paraId="659AFD18">
      <w:pPr>
        <w:tabs>
          <w:tab w:val="left" w:pos="8300"/>
        </w:tabs>
        <w:autoSpaceDE w:val="0"/>
        <w:autoSpaceDN w:val="0"/>
        <w:adjustRightInd w:val="0"/>
        <w:snapToGrid w:val="0"/>
        <w:spacing w:line="520" w:lineRule="exact"/>
        <w:ind w:right="-20" w:firstLine="3150" w:firstLineChars="1500"/>
        <w:rPr>
          <w:rFonts w:hint="eastAsia" w:ascii="宋体" w:hAnsi="宋体" w:cs="MingLiU"/>
          <w:snapToGrid w:val="0"/>
          <w:u w:val="single"/>
        </w:rPr>
      </w:pPr>
      <w:r>
        <w:rPr>
          <w:rFonts w:hint="eastAsia" w:ascii="宋体" w:hAnsi="宋体" w:cs="MingLiU"/>
          <w:snapToGrid w:val="0"/>
          <w:u w:val="single"/>
        </w:rPr>
        <w:t xml:space="preserve">法定代表人或授权代表签字：（签名或盖章）  </w:t>
      </w:r>
    </w:p>
    <w:p w14:paraId="05EC7291">
      <w:pPr>
        <w:spacing w:line="520" w:lineRule="exact"/>
        <w:ind w:firstLine="5670" w:firstLineChars="2700"/>
        <w:rPr>
          <w:rFonts w:hint="eastAsia" w:ascii="宋体" w:hAnsi="宋体" w:cs="MingLiU"/>
          <w:snapToGrid w:val="0"/>
          <w:u w:val="single"/>
        </w:rPr>
      </w:pPr>
      <w:r>
        <w:rPr>
          <w:rFonts w:hint="eastAsia" w:ascii="宋体" w:hAnsi="宋体" w:cs="MingLiU"/>
          <w:snapToGrid w:val="0"/>
          <w:u w:val="single"/>
        </w:rPr>
        <w:t xml:space="preserve">     年   月   日</w:t>
      </w:r>
    </w:p>
    <w:p w14:paraId="5AF3C6EB">
      <w:pPr>
        <w:spacing w:line="360" w:lineRule="auto"/>
        <w:rPr>
          <w:rFonts w:hint="eastAsia" w:ascii="华文细黑" w:hAnsi="华文细黑" w:eastAsia="华文细黑" w:cs="华文细黑"/>
          <w:sz w:val="24"/>
        </w:rPr>
      </w:pPr>
    </w:p>
    <w:p w14:paraId="5522FF95">
      <w:pPr>
        <w:pStyle w:val="22"/>
        <w:ind w:firstLine="480"/>
        <w:rPr>
          <w:rFonts w:hint="eastAsia" w:ascii="华文细黑" w:hAnsi="华文细黑" w:eastAsia="华文细黑" w:cs="华文细黑"/>
          <w:sz w:val="24"/>
        </w:rPr>
      </w:pPr>
    </w:p>
    <w:p w14:paraId="3AB3EBA5">
      <w:pPr>
        <w:pStyle w:val="22"/>
        <w:ind w:firstLine="480"/>
        <w:rPr>
          <w:rFonts w:hint="eastAsia" w:ascii="华文细黑" w:hAnsi="华文细黑" w:eastAsia="华文细黑" w:cs="华文细黑"/>
          <w:sz w:val="24"/>
        </w:rPr>
      </w:pPr>
    </w:p>
    <w:bookmarkEnd w:id="65"/>
    <w:bookmarkEnd w:id="66"/>
    <w:bookmarkEnd w:id="67"/>
    <w:p w14:paraId="2363DDBA">
      <w:pPr>
        <w:spacing w:line="360" w:lineRule="auto"/>
        <w:rPr>
          <w:rFonts w:ascii="宋体"/>
        </w:rPr>
      </w:pPr>
    </w:p>
    <w:p w14:paraId="493DF8AB">
      <w:pPr>
        <w:pStyle w:val="21"/>
        <w:ind w:firstLine="0"/>
        <w:rPr>
          <w:rFonts w:hint="eastAsia"/>
        </w:rPr>
      </w:pPr>
    </w:p>
    <w:p w14:paraId="697998A0">
      <w:pPr>
        <w:pStyle w:val="21"/>
        <w:ind w:firstLine="0"/>
        <w:rPr>
          <w:rFonts w:hint="eastAsia"/>
        </w:rPr>
      </w:pPr>
    </w:p>
    <w:p w14:paraId="78E13087">
      <w:pPr>
        <w:pStyle w:val="21"/>
        <w:ind w:firstLine="0"/>
        <w:rPr>
          <w:rFonts w:hint="eastAsia"/>
        </w:rPr>
      </w:pPr>
    </w:p>
    <w:p w14:paraId="720F954A">
      <w:pPr>
        <w:pStyle w:val="21"/>
        <w:ind w:firstLine="0"/>
        <w:rPr>
          <w:rFonts w:hint="eastAsia"/>
        </w:rPr>
      </w:pPr>
    </w:p>
    <w:p w14:paraId="5ADF2799">
      <w:pPr>
        <w:pStyle w:val="21"/>
        <w:ind w:firstLine="0"/>
        <w:rPr>
          <w:rFonts w:hint="eastAsia"/>
        </w:rPr>
      </w:pPr>
    </w:p>
    <w:p w14:paraId="3DFF1231">
      <w:pPr>
        <w:pStyle w:val="21"/>
        <w:ind w:firstLine="0"/>
        <w:rPr>
          <w:rFonts w:hint="eastAsia"/>
        </w:rPr>
      </w:pPr>
    </w:p>
    <w:p w14:paraId="7D69B412">
      <w:pPr>
        <w:spacing w:line="360" w:lineRule="auto"/>
        <w:ind w:firstLine="472" w:firstLineChars="224"/>
        <w:jc w:val="center"/>
        <w:rPr>
          <w:rFonts w:ascii="宋体"/>
          <w:b/>
          <w:bCs/>
        </w:rPr>
      </w:pPr>
      <w:bookmarkStart w:id="69" w:name="_Toc120633487"/>
      <w:bookmarkStart w:id="70" w:name="_Toc13388"/>
      <w:bookmarkStart w:id="71" w:name="_Toc14571"/>
      <w:r>
        <w:rPr>
          <w:rFonts w:hint="eastAsia" w:ascii="宋体" w:hAnsi="宋体" w:cs="宋体"/>
          <w:b/>
          <w:bCs/>
        </w:rPr>
        <w:t>法定代表人授权委托书</w:t>
      </w:r>
      <w:bookmarkEnd w:id="68"/>
      <w:bookmarkEnd w:id="69"/>
      <w:bookmarkEnd w:id="70"/>
      <w:bookmarkEnd w:id="71"/>
    </w:p>
    <w:p w14:paraId="5B2E0150">
      <w:pPr>
        <w:spacing w:line="360" w:lineRule="auto"/>
        <w:ind w:firstLine="470" w:firstLineChars="224"/>
        <w:rPr>
          <w:rFonts w:ascii="宋体"/>
        </w:rPr>
      </w:pPr>
    </w:p>
    <w:p w14:paraId="0EF52DC3">
      <w:pPr>
        <w:pStyle w:val="10"/>
        <w:spacing w:line="360" w:lineRule="auto"/>
        <w:ind w:left="0" w:leftChars="0" w:firstLine="470" w:firstLineChars="224"/>
        <w:rPr>
          <w:rFonts w:ascii="宋体"/>
        </w:rPr>
      </w:pPr>
      <w:r>
        <w:rPr>
          <w:rFonts w:hint="eastAsia" w:ascii="宋体" w:hAnsi="宋体" w:cs="宋体"/>
        </w:rPr>
        <w:t>本授权委托书声明：我（姓名）系（参选单位名称）的法定代表人，现授权委托（单位名称）的（姓名）为我公司唯一代理人，以本公司的名义参加（采购人名称、项目名称）的询比活动。代理人在询比采购、合同签订过程中所签署的一切文件和处理与之有关的一切事务，我均予以承认。</w:t>
      </w:r>
    </w:p>
    <w:p w14:paraId="6EE94131">
      <w:pPr>
        <w:pStyle w:val="10"/>
        <w:spacing w:line="360" w:lineRule="auto"/>
        <w:ind w:left="0" w:leftChars="0" w:firstLine="470" w:firstLineChars="224"/>
        <w:rPr>
          <w:rFonts w:ascii="宋体"/>
        </w:rPr>
      </w:pPr>
      <w:r>
        <w:rPr>
          <w:rFonts w:hint="eastAsia" w:ascii="宋体" w:hAnsi="宋体" w:cs="宋体"/>
        </w:rPr>
        <w:t>代理人无转委权。特此委托。</w:t>
      </w:r>
    </w:p>
    <w:p w14:paraId="0576ED37">
      <w:pPr>
        <w:pStyle w:val="10"/>
        <w:spacing w:line="360" w:lineRule="auto"/>
        <w:ind w:left="0" w:leftChars="0" w:firstLine="470" w:firstLineChars="224"/>
        <w:rPr>
          <w:rFonts w:ascii="宋体"/>
        </w:rPr>
      </w:pPr>
      <w:r>
        <w:rPr>
          <w:rFonts w:hint="eastAsia" w:ascii="宋体" w:hAnsi="宋体" w:cs="宋体"/>
        </w:rPr>
        <w:t>（附法定代表人身份证明）</w:t>
      </w:r>
    </w:p>
    <w:p w14:paraId="3E77068F">
      <w:pPr>
        <w:pStyle w:val="8"/>
        <w:spacing w:line="360" w:lineRule="auto"/>
        <w:ind w:firstLine="470" w:firstLineChars="224"/>
        <w:rPr>
          <w:rFonts w:hint="eastAsia" w:cs="Times New Roman"/>
          <w:sz w:val="21"/>
          <w:szCs w:val="21"/>
        </w:rPr>
      </w:pPr>
    </w:p>
    <w:p w14:paraId="774382E6">
      <w:pPr>
        <w:pStyle w:val="8"/>
        <w:spacing w:line="360" w:lineRule="auto"/>
        <w:ind w:firstLine="470" w:firstLineChars="224"/>
        <w:rPr>
          <w:rFonts w:hint="eastAsia" w:cs="Times New Roman"/>
          <w:sz w:val="21"/>
          <w:szCs w:val="21"/>
        </w:rPr>
      </w:pPr>
      <w:r>
        <w:rPr>
          <w:rFonts w:hint="eastAsia"/>
          <w:sz w:val="21"/>
          <w:szCs w:val="21"/>
        </w:rPr>
        <w:t>代理人：性别：年龄：</w:t>
      </w:r>
    </w:p>
    <w:p w14:paraId="7401A16B">
      <w:pPr>
        <w:pStyle w:val="8"/>
        <w:spacing w:line="360" w:lineRule="auto"/>
        <w:ind w:firstLine="470" w:firstLineChars="224"/>
        <w:rPr>
          <w:rFonts w:hint="eastAsia" w:cs="Times New Roman"/>
          <w:sz w:val="21"/>
          <w:szCs w:val="21"/>
        </w:rPr>
      </w:pPr>
    </w:p>
    <w:p w14:paraId="7D9A8D6A">
      <w:pPr>
        <w:pStyle w:val="8"/>
        <w:spacing w:line="360" w:lineRule="auto"/>
        <w:ind w:firstLine="470" w:firstLineChars="224"/>
        <w:rPr>
          <w:rFonts w:hint="eastAsia" w:cs="Times New Roman"/>
          <w:sz w:val="21"/>
          <w:szCs w:val="21"/>
        </w:rPr>
      </w:pPr>
      <w:r>
        <w:rPr>
          <w:rFonts w:hint="eastAsia"/>
          <w:sz w:val="21"/>
          <w:szCs w:val="21"/>
        </w:rPr>
        <w:t>单位：部门：职务：</w:t>
      </w:r>
    </w:p>
    <w:p w14:paraId="2D300BFA">
      <w:pPr>
        <w:pStyle w:val="8"/>
        <w:spacing w:line="360" w:lineRule="auto"/>
        <w:ind w:firstLine="470" w:firstLineChars="224"/>
        <w:rPr>
          <w:rFonts w:hint="eastAsia" w:cs="Times New Roman"/>
          <w:sz w:val="21"/>
          <w:szCs w:val="21"/>
        </w:rPr>
      </w:pPr>
    </w:p>
    <w:p w14:paraId="27484206">
      <w:pPr>
        <w:pStyle w:val="8"/>
        <w:spacing w:line="360" w:lineRule="auto"/>
        <w:ind w:firstLine="470" w:firstLineChars="224"/>
        <w:rPr>
          <w:rFonts w:hint="eastAsia" w:cs="Times New Roman"/>
          <w:sz w:val="21"/>
          <w:szCs w:val="21"/>
        </w:rPr>
      </w:pPr>
      <w:r>
        <w:rPr>
          <w:rFonts w:hint="eastAsia"/>
          <w:sz w:val="21"/>
          <w:szCs w:val="21"/>
        </w:rPr>
        <w:t>询比申请人：（盖章）</w:t>
      </w:r>
    </w:p>
    <w:p w14:paraId="1A19AF9B">
      <w:pPr>
        <w:pStyle w:val="8"/>
        <w:spacing w:line="360" w:lineRule="auto"/>
        <w:ind w:firstLine="470" w:firstLineChars="224"/>
        <w:rPr>
          <w:rFonts w:hint="eastAsia" w:cs="Times New Roman"/>
          <w:sz w:val="21"/>
          <w:szCs w:val="21"/>
        </w:rPr>
      </w:pPr>
    </w:p>
    <w:p w14:paraId="66729576">
      <w:pPr>
        <w:pStyle w:val="8"/>
        <w:spacing w:line="360" w:lineRule="auto"/>
        <w:ind w:firstLine="470" w:firstLineChars="224"/>
        <w:rPr>
          <w:rFonts w:hint="eastAsia" w:cs="Times New Roman"/>
          <w:sz w:val="21"/>
          <w:szCs w:val="21"/>
        </w:rPr>
      </w:pPr>
      <w:r>
        <w:rPr>
          <w:rFonts w:hint="eastAsia"/>
          <w:sz w:val="21"/>
          <w:szCs w:val="21"/>
        </w:rPr>
        <w:t>法定代表人：（签名或盖章）</w:t>
      </w:r>
    </w:p>
    <w:p w14:paraId="54DCCCFF">
      <w:pPr>
        <w:pStyle w:val="52"/>
        <w:spacing w:beforeLines="0" w:afterLines="0" w:line="360" w:lineRule="auto"/>
        <w:ind w:firstLine="470" w:firstLineChars="224"/>
        <w:rPr>
          <w:rFonts w:hint="eastAsia" w:ascii="宋体" w:hAnsi="宋体" w:eastAsia="宋体"/>
          <w:sz w:val="21"/>
          <w:szCs w:val="21"/>
        </w:rPr>
      </w:pPr>
    </w:p>
    <w:p w14:paraId="35B13984">
      <w:pPr>
        <w:pStyle w:val="52"/>
        <w:spacing w:beforeLines="0" w:afterLines="0" w:line="360" w:lineRule="auto"/>
        <w:ind w:right="480" w:firstLine="470" w:firstLineChars="224"/>
        <w:jc w:val="right"/>
        <w:rPr>
          <w:rFonts w:hint="eastAsia" w:ascii="宋体" w:hAnsi="宋体" w:eastAsia="宋体"/>
          <w:sz w:val="21"/>
          <w:szCs w:val="21"/>
        </w:rPr>
      </w:pPr>
      <w:r>
        <w:rPr>
          <w:rFonts w:hint="eastAsia" w:ascii="宋体" w:hAnsi="宋体" w:eastAsia="宋体" w:cs="宋体"/>
          <w:sz w:val="21"/>
          <w:szCs w:val="21"/>
        </w:rPr>
        <w:t>日期：年月日</w:t>
      </w:r>
    </w:p>
    <w:p w14:paraId="6AF83F7D">
      <w:pPr>
        <w:spacing w:line="360" w:lineRule="auto"/>
        <w:rPr>
          <w:rFonts w:ascii="宋体"/>
        </w:rPr>
      </w:pPr>
    </w:p>
    <w:p w14:paraId="50A883A3">
      <w:pPr>
        <w:spacing w:line="360" w:lineRule="auto"/>
        <w:ind w:firstLine="470" w:firstLineChars="224"/>
        <w:rPr>
          <w:rFonts w:ascii="宋体"/>
        </w:rPr>
      </w:pPr>
      <w:r>
        <w:rPr>
          <w:rFonts w:hint="eastAsia" w:ascii="宋体" w:hAnsi="宋体" w:cs="宋体"/>
        </w:rPr>
        <w:t>（该处粘贴代理人身份证复印件）</w:t>
      </w:r>
    </w:p>
    <w:p w14:paraId="6BCEED56">
      <w:pPr>
        <w:spacing w:line="360" w:lineRule="auto"/>
        <w:ind w:firstLine="472" w:firstLineChars="224"/>
        <w:jc w:val="center"/>
        <w:rPr>
          <w:rFonts w:ascii="宋体"/>
          <w:b/>
          <w:bCs/>
        </w:rPr>
      </w:pPr>
    </w:p>
    <w:p w14:paraId="08794ED6">
      <w:pPr>
        <w:spacing w:line="360" w:lineRule="auto"/>
        <w:rPr>
          <w:rFonts w:ascii="宋体"/>
          <w:b/>
          <w:bCs/>
        </w:rPr>
      </w:pPr>
    </w:p>
    <w:p w14:paraId="3CF5FD60">
      <w:pPr>
        <w:spacing w:line="360" w:lineRule="auto"/>
        <w:rPr>
          <w:rFonts w:ascii="宋体"/>
          <w:b/>
          <w:bCs/>
        </w:rPr>
      </w:pPr>
    </w:p>
    <w:p w14:paraId="0BFA9C1D">
      <w:pPr>
        <w:spacing w:line="360" w:lineRule="auto"/>
        <w:rPr>
          <w:rFonts w:ascii="宋体"/>
          <w:b/>
          <w:bCs/>
        </w:rPr>
      </w:pPr>
    </w:p>
    <w:p w14:paraId="5EC03E79">
      <w:pPr>
        <w:spacing w:line="360" w:lineRule="auto"/>
        <w:rPr>
          <w:rFonts w:ascii="宋体"/>
          <w:b/>
          <w:bCs/>
        </w:rPr>
      </w:pPr>
      <w:r>
        <w:rPr>
          <w:rFonts w:hint="eastAsia" w:ascii="宋体"/>
          <w:b/>
          <w:bCs/>
        </w:rPr>
        <w:t>注：1、法定代表人参与响应活动并签署文件的不需要授权委托书，只需要提供法定代表人身份证明；非法定代表人参加响应活动机签署文件的除提供法定代表人身份证外还须提供授权委托书。</w:t>
      </w:r>
    </w:p>
    <w:p w14:paraId="4899E0AC">
      <w:pPr>
        <w:spacing w:line="360" w:lineRule="auto"/>
        <w:rPr>
          <w:rFonts w:ascii="宋体"/>
          <w:b/>
          <w:bCs/>
        </w:rPr>
      </w:pPr>
      <w:r>
        <w:rPr>
          <w:rFonts w:hint="eastAsia" w:ascii="宋体"/>
          <w:b/>
          <w:bCs/>
        </w:rPr>
        <w:t>2、法定代表人身份证明及授权委托书原件装入响应文件一并递交。</w:t>
      </w:r>
    </w:p>
    <w:p w14:paraId="7C73F65F">
      <w:pPr>
        <w:spacing w:line="360" w:lineRule="auto"/>
        <w:rPr>
          <w:rFonts w:ascii="宋体"/>
          <w:b/>
          <w:bCs/>
        </w:rPr>
      </w:pPr>
      <w:r>
        <w:rPr>
          <w:rFonts w:hint="eastAsia" w:ascii="宋体"/>
          <w:b/>
          <w:bCs/>
        </w:rPr>
        <w:t>3、授权委托书需按上述格式填写完整，不可缺少内容。在此基础上增加内容的不影响其有效性。</w:t>
      </w:r>
      <w:r>
        <w:rPr>
          <w:rFonts w:ascii="宋体"/>
          <w:b/>
          <w:bCs/>
        </w:rPr>
        <w:br w:type="page"/>
      </w:r>
      <w:bookmarkStart w:id="72" w:name="_Toc13788"/>
      <w:bookmarkStart w:id="73" w:name="_Toc120633488"/>
      <w:bookmarkStart w:id="74" w:name="_Toc11989"/>
      <w:r>
        <w:rPr>
          <w:rFonts w:hint="eastAsia" w:ascii="宋体" w:hAnsi="宋体" w:cs="宋体"/>
          <w:b/>
          <w:bCs/>
        </w:rPr>
        <w:t>法定代表人身份证明</w:t>
      </w:r>
      <w:bookmarkEnd w:id="72"/>
      <w:bookmarkEnd w:id="73"/>
      <w:bookmarkEnd w:id="74"/>
    </w:p>
    <w:p w14:paraId="07BF9DB7">
      <w:pPr>
        <w:spacing w:line="360" w:lineRule="auto"/>
        <w:ind w:left="765"/>
        <w:rPr>
          <w:rFonts w:ascii="宋体"/>
        </w:rPr>
      </w:pPr>
    </w:p>
    <w:p w14:paraId="5D122B0E">
      <w:pPr>
        <w:tabs>
          <w:tab w:val="left" w:pos="5565"/>
        </w:tabs>
        <w:autoSpaceDE w:val="0"/>
        <w:autoSpaceDN w:val="0"/>
        <w:adjustRightInd w:val="0"/>
        <w:snapToGrid w:val="0"/>
        <w:spacing w:line="360" w:lineRule="auto"/>
        <w:ind w:firstLine="390" w:firstLineChars="186"/>
        <w:jc w:val="left"/>
        <w:rPr>
          <w:rFonts w:ascii="宋体"/>
          <w:kern w:val="0"/>
        </w:rPr>
      </w:pPr>
      <w:r>
        <w:rPr>
          <w:rFonts w:hint="eastAsia" w:ascii="宋体" w:hAnsi="宋体" w:cs="宋体"/>
          <w:kern w:val="0"/>
        </w:rPr>
        <w:t>询比申请人名称：</w:t>
      </w:r>
      <w:r>
        <w:rPr>
          <w:rFonts w:ascii="宋体"/>
          <w:kern w:val="0"/>
          <w:u w:val="single"/>
        </w:rPr>
        <w:tab/>
      </w:r>
    </w:p>
    <w:p w14:paraId="1D0A8D0F">
      <w:pPr>
        <w:tabs>
          <w:tab w:val="left" w:pos="5475"/>
        </w:tabs>
        <w:autoSpaceDE w:val="0"/>
        <w:autoSpaceDN w:val="0"/>
        <w:adjustRightInd w:val="0"/>
        <w:snapToGrid w:val="0"/>
        <w:spacing w:line="360" w:lineRule="auto"/>
        <w:ind w:firstLine="390" w:firstLineChars="186"/>
        <w:jc w:val="left"/>
        <w:rPr>
          <w:rFonts w:ascii="宋体"/>
          <w:kern w:val="0"/>
        </w:rPr>
      </w:pPr>
      <w:r>
        <w:rPr>
          <w:rFonts w:hint="eastAsia" w:ascii="宋体" w:hAnsi="宋体" w:cs="宋体"/>
          <w:kern w:val="0"/>
        </w:rPr>
        <w:t>单位性质：</w:t>
      </w:r>
      <w:r>
        <w:rPr>
          <w:rFonts w:ascii="宋体"/>
          <w:kern w:val="0"/>
          <w:u w:val="single"/>
        </w:rPr>
        <w:tab/>
      </w:r>
    </w:p>
    <w:p w14:paraId="38D22B2D">
      <w:pPr>
        <w:tabs>
          <w:tab w:val="left" w:pos="5475"/>
        </w:tabs>
        <w:autoSpaceDE w:val="0"/>
        <w:autoSpaceDN w:val="0"/>
        <w:adjustRightInd w:val="0"/>
        <w:snapToGrid w:val="0"/>
        <w:spacing w:line="360" w:lineRule="auto"/>
        <w:ind w:firstLine="390" w:firstLineChars="186"/>
        <w:jc w:val="left"/>
        <w:rPr>
          <w:rFonts w:ascii="宋体"/>
          <w:kern w:val="0"/>
        </w:rPr>
      </w:pPr>
      <w:r>
        <w:rPr>
          <w:rFonts w:hint="eastAsia" w:ascii="宋体" w:hAnsi="宋体" w:cs="宋体"/>
          <w:kern w:val="0"/>
        </w:rPr>
        <w:t>地址：</w:t>
      </w:r>
      <w:r>
        <w:rPr>
          <w:rFonts w:ascii="宋体"/>
          <w:kern w:val="0"/>
          <w:u w:val="single"/>
        </w:rPr>
        <w:tab/>
      </w:r>
    </w:p>
    <w:p w14:paraId="71CF360F">
      <w:pPr>
        <w:tabs>
          <w:tab w:val="left" w:pos="2520"/>
          <w:tab w:val="left" w:pos="3836"/>
        </w:tabs>
        <w:autoSpaceDE w:val="0"/>
        <w:autoSpaceDN w:val="0"/>
        <w:adjustRightInd w:val="0"/>
        <w:snapToGrid w:val="0"/>
        <w:spacing w:line="360" w:lineRule="auto"/>
        <w:ind w:firstLine="390" w:firstLineChars="186"/>
        <w:jc w:val="left"/>
        <w:rPr>
          <w:rFonts w:ascii="宋体"/>
          <w:kern w:val="0"/>
        </w:rPr>
      </w:pPr>
      <w:r>
        <w:rPr>
          <w:rFonts w:hint="eastAsia" w:ascii="宋体" w:hAnsi="宋体" w:cs="宋体"/>
          <w:kern w:val="0"/>
        </w:rPr>
        <w:t>成立时间：</w:t>
      </w:r>
      <w:r>
        <w:rPr>
          <w:rFonts w:ascii="宋体"/>
          <w:kern w:val="0"/>
          <w:u w:val="single"/>
        </w:rPr>
        <w:tab/>
      </w:r>
      <w:r>
        <w:rPr>
          <w:rFonts w:hint="eastAsia" w:ascii="宋体" w:hAnsi="宋体" w:cs="宋体"/>
          <w:spacing w:val="-1"/>
          <w:kern w:val="0"/>
        </w:rPr>
        <w:t>年</w:t>
      </w:r>
      <w:r>
        <w:rPr>
          <w:rFonts w:ascii="宋体"/>
          <w:kern w:val="0"/>
          <w:u w:val="single"/>
        </w:rPr>
        <w:tab/>
      </w:r>
      <w:r>
        <w:rPr>
          <w:rFonts w:hint="eastAsia" w:ascii="宋体" w:hAnsi="宋体" w:cs="宋体"/>
          <w:spacing w:val="-1"/>
          <w:kern w:val="0"/>
        </w:rPr>
        <w:t>月</w:t>
      </w:r>
      <w:r>
        <w:rPr>
          <w:rFonts w:hint="eastAsia" w:ascii="宋体" w:hAnsi="宋体" w:cs="宋体"/>
          <w:kern w:val="0"/>
        </w:rPr>
        <w:t>日</w:t>
      </w:r>
    </w:p>
    <w:p w14:paraId="3559E00D">
      <w:pPr>
        <w:tabs>
          <w:tab w:val="left" w:pos="5475"/>
        </w:tabs>
        <w:autoSpaceDE w:val="0"/>
        <w:autoSpaceDN w:val="0"/>
        <w:adjustRightInd w:val="0"/>
        <w:snapToGrid w:val="0"/>
        <w:spacing w:line="360" w:lineRule="auto"/>
        <w:ind w:firstLine="390" w:firstLineChars="186"/>
        <w:jc w:val="left"/>
        <w:rPr>
          <w:rFonts w:ascii="宋体"/>
          <w:kern w:val="0"/>
        </w:rPr>
      </w:pPr>
      <w:r>
        <w:rPr>
          <w:rFonts w:hint="eastAsia" w:ascii="宋体" w:hAnsi="宋体" w:cs="宋体"/>
          <w:kern w:val="0"/>
        </w:rPr>
        <w:t>经营期限：</w:t>
      </w:r>
      <w:r>
        <w:rPr>
          <w:rFonts w:ascii="宋体"/>
          <w:kern w:val="0"/>
          <w:u w:val="single"/>
        </w:rPr>
        <w:tab/>
      </w:r>
    </w:p>
    <w:p w14:paraId="53F51D47">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kern w:val="0"/>
        </w:rPr>
      </w:pPr>
      <w:r>
        <w:rPr>
          <w:rFonts w:hint="eastAsia" w:ascii="宋体" w:hAnsi="宋体" w:cs="宋体"/>
          <w:kern w:val="0"/>
        </w:rPr>
        <w:t>姓名：</w:t>
      </w:r>
      <w:r>
        <w:rPr>
          <w:rFonts w:ascii="宋体"/>
          <w:kern w:val="0"/>
          <w:u w:val="single"/>
        </w:rPr>
        <w:tab/>
      </w:r>
      <w:r>
        <w:rPr>
          <w:rFonts w:hint="eastAsia" w:ascii="宋体" w:hAnsi="宋体" w:cs="宋体"/>
          <w:kern w:val="0"/>
        </w:rPr>
        <w:t>性别</w:t>
      </w:r>
      <w:r>
        <w:rPr>
          <w:rFonts w:hint="eastAsia" w:ascii="宋体" w:hAnsi="宋体" w:cs="宋体"/>
          <w:spacing w:val="-1"/>
          <w:kern w:val="0"/>
        </w:rPr>
        <w:t>：</w:t>
      </w:r>
      <w:r>
        <w:rPr>
          <w:rFonts w:ascii="宋体"/>
          <w:kern w:val="0"/>
          <w:u w:val="single"/>
        </w:rPr>
        <w:tab/>
      </w:r>
      <w:r>
        <w:rPr>
          <w:rFonts w:hint="eastAsia" w:ascii="宋体" w:hAnsi="宋体" w:cs="宋体"/>
          <w:spacing w:val="-1"/>
          <w:kern w:val="0"/>
        </w:rPr>
        <w:t>年</w:t>
      </w:r>
      <w:r>
        <w:rPr>
          <w:rFonts w:hint="eastAsia" w:ascii="宋体" w:hAnsi="宋体" w:cs="宋体"/>
          <w:kern w:val="0"/>
        </w:rPr>
        <w:t>龄：</w:t>
      </w:r>
      <w:r>
        <w:rPr>
          <w:rFonts w:ascii="宋体"/>
          <w:kern w:val="0"/>
          <w:u w:val="single"/>
        </w:rPr>
        <w:tab/>
      </w:r>
      <w:r>
        <w:rPr>
          <w:rFonts w:hint="eastAsia" w:ascii="宋体" w:hAnsi="宋体" w:cs="宋体"/>
          <w:kern w:val="0"/>
        </w:rPr>
        <w:t>职务：</w:t>
      </w:r>
      <w:r>
        <w:rPr>
          <w:rFonts w:ascii="宋体"/>
          <w:kern w:val="0"/>
          <w:u w:val="single"/>
        </w:rPr>
        <w:tab/>
      </w:r>
    </w:p>
    <w:p w14:paraId="7D70FC5D">
      <w:pPr>
        <w:tabs>
          <w:tab w:val="left" w:pos="3360"/>
        </w:tabs>
        <w:autoSpaceDE w:val="0"/>
        <w:autoSpaceDN w:val="0"/>
        <w:adjustRightInd w:val="0"/>
        <w:snapToGrid w:val="0"/>
        <w:spacing w:line="360" w:lineRule="auto"/>
        <w:ind w:firstLine="390" w:firstLineChars="186"/>
        <w:jc w:val="left"/>
        <w:rPr>
          <w:rFonts w:ascii="宋体"/>
          <w:kern w:val="0"/>
        </w:rPr>
      </w:pPr>
      <w:r>
        <w:rPr>
          <w:rFonts w:hint="eastAsia" w:ascii="宋体" w:hAnsi="宋体" w:cs="宋体"/>
          <w:kern w:val="0"/>
        </w:rPr>
        <w:t>系</w:t>
      </w:r>
      <w:r>
        <w:rPr>
          <w:rFonts w:ascii="宋体"/>
          <w:kern w:val="0"/>
          <w:u w:val="single"/>
        </w:rPr>
        <w:tab/>
      </w:r>
      <w:r>
        <w:rPr>
          <w:rFonts w:hint="eastAsia" w:ascii="宋体" w:hAnsi="宋体" w:cs="宋体"/>
          <w:kern w:val="0"/>
        </w:rPr>
        <w:t>（询比申请人名称）的法定代表人。</w:t>
      </w:r>
    </w:p>
    <w:p w14:paraId="728E783D">
      <w:pPr>
        <w:autoSpaceDE w:val="0"/>
        <w:autoSpaceDN w:val="0"/>
        <w:adjustRightInd w:val="0"/>
        <w:snapToGrid w:val="0"/>
        <w:spacing w:line="360" w:lineRule="auto"/>
        <w:ind w:firstLine="390" w:firstLineChars="186"/>
        <w:jc w:val="left"/>
        <w:rPr>
          <w:rFonts w:ascii="宋体"/>
          <w:kern w:val="0"/>
        </w:rPr>
      </w:pPr>
    </w:p>
    <w:p w14:paraId="5EA7B11F">
      <w:pPr>
        <w:autoSpaceDE w:val="0"/>
        <w:autoSpaceDN w:val="0"/>
        <w:adjustRightInd w:val="0"/>
        <w:snapToGrid w:val="0"/>
        <w:spacing w:line="360" w:lineRule="auto"/>
        <w:ind w:firstLine="810" w:firstLineChars="386"/>
        <w:jc w:val="left"/>
        <w:rPr>
          <w:rFonts w:ascii="宋体"/>
          <w:kern w:val="0"/>
        </w:rPr>
      </w:pPr>
      <w:r>
        <w:rPr>
          <w:rFonts w:hint="eastAsia" w:ascii="宋体" w:hAnsi="宋体" w:cs="宋体"/>
          <w:kern w:val="0"/>
        </w:rPr>
        <w:t>特此证明。</w:t>
      </w:r>
    </w:p>
    <w:p w14:paraId="6242E0EE">
      <w:pPr>
        <w:autoSpaceDE w:val="0"/>
        <w:autoSpaceDN w:val="0"/>
        <w:adjustRightInd w:val="0"/>
        <w:snapToGrid w:val="0"/>
        <w:spacing w:line="360" w:lineRule="auto"/>
        <w:jc w:val="left"/>
        <w:rPr>
          <w:rFonts w:ascii="宋体"/>
          <w:kern w:val="0"/>
        </w:rPr>
      </w:pPr>
    </w:p>
    <w:p w14:paraId="3ABBEF2A">
      <w:pPr>
        <w:tabs>
          <w:tab w:val="left" w:pos="5460"/>
        </w:tabs>
        <w:autoSpaceDE w:val="0"/>
        <w:autoSpaceDN w:val="0"/>
        <w:adjustRightInd w:val="0"/>
        <w:snapToGrid w:val="0"/>
        <w:spacing w:line="360" w:lineRule="auto"/>
        <w:ind w:firstLine="2100"/>
        <w:jc w:val="left"/>
        <w:rPr>
          <w:rFonts w:ascii="宋体"/>
          <w:kern w:val="0"/>
        </w:rPr>
      </w:pPr>
      <w:r>
        <w:rPr>
          <w:rFonts w:hint="eastAsia" w:ascii="宋体" w:hAnsi="宋体" w:cs="宋体"/>
          <w:kern w:val="0"/>
        </w:rPr>
        <w:t>询比申请人：</w:t>
      </w:r>
      <w:r>
        <w:rPr>
          <w:rFonts w:ascii="宋体"/>
          <w:kern w:val="0"/>
          <w:u w:val="single"/>
        </w:rPr>
        <w:tab/>
      </w:r>
      <w:r>
        <w:rPr>
          <w:rFonts w:hint="eastAsia" w:ascii="宋体" w:hAnsi="宋体" w:cs="宋体"/>
          <w:spacing w:val="-1"/>
          <w:kern w:val="0"/>
        </w:rPr>
        <w:t>（</w:t>
      </w:r>
      <w:r>
        <w:rPr>
          <w:rFonts w:hint="eastAsia" w:ascii="宋体" w:hAnsi="宋体" w:cs="宋体"/>
          <w:kern w:val="0"/>
        </w:rPr>
        <w:t>盖单位公章）</w:t>
      </w:r>
    </w:p>
    <w:p w14:paraId="56D2FCE4">
      <w:pPr>
        <w:autoSpaceDE w:val="0"/>
        <w:autoSpaceDN w:val="0"/>
        <w:adjustRightInd w:val="0"/>
        <w:snapToGrid w:val="0"/>
        <w:spacing w:line="360" w:lineRule="auto"/>
        <w:jc w:val="left"/>
        <w:rPr>
          <w:rFonts w:ascii="宋体"/>
          <w:kern w:val="0"/>
        </w:rPr>
      </w:pPr>
    </w:p>
    <w:p w14:paraId="773CA079">
      <w:pPr>
        <w:tabs>
          <w:tab w:val="left" w:pos="4935"/>
          <w:tab w:val="left" w:pos="5460"/>
          <w:tab w:val="left" w:pos="6400"/>
        </w:tabs>
        <w:autoSpaceDE w:val="0"/>
        <w:autoSpaceDN w:val="0"/>
        <w:adjustRightInd w:val="0"/>
        <w:snapToGrid w:val="0"/>
        <w:spacing w:line="360" w:lineRule="auto"/>
        <w:ind w:firstLine="3780"/>
        <w:jc w:val="left"/>
        <w:rPr>
          <w:rFonts w:ascii="宋体"/>
          <w:kern w:val="0"/>
        </w:rPr>
      </w:pPr>
      <w:r>
        <w:rPr>
          <w:rFonts w:ascii="宋体"/>
          <w:kern w:val="0"/>
          <w:u w:val="single"/>
        </w:rPr>
        <w:tab/>
      </w:r>
      <w:r>
        <w:rPr>
          <w:rFonts w:hint="eastAsia" w:ascii="宋体" w:hAnsi="宋体" w:cs="宋体"/>
          <w:spacing w:val="-1"/>
          <w:kern w:val="0"/>
        </w:rPr>
        <w:t>年</w:t>
      </w:r>
      <w:r>
        <w:rPr>
          <w:rFonts w:hint="eastAsia" w:ascii="宋体" w:hAnsi="宋体" w:cs="宋体"/>
          <w:kern w:val="0"/>
        </w:rPr>
        <w:t>月日</w:t>
      </w:r>
    </w:p>
    <w:p w14:paraId="6BE54681">
      <w:pPr>
        <w:autoSpaceDE w:val="0"/>
        <w:autoSpaceDN w:val="0"/>
        <w:adjustRightInd w:val="0"/>
        <w:snapToGrid w:val="0"/>
        <w:spacing w:line="360" w:lineRule="auto"/>
        <w:jc w:val="left"/>
        <w:rPr>
          <w:rFonts w:ascii="宋体"/>
          <w:kern w:val="0"/>
        </w:rPr>
      </w:pPr>
    </w:p>
    <w:tbl>
      <w:tblPr>
        <w:tblStyle w:val="23"/>
        <w:tblpPr w:leftFromText="180" w:rightFromText="180" w:vertAnchor="text" w:horzAnchor="margin" w:tblpY="735"/>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14:paraId="17C156A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0" w:hRule="atLeast"/>
        </w:trPr>
        <w:tc>
          <w:tcPr>
            <w:tcW w:w="3960" w:type="dxa"/>
          </w:tcPr>
          <w:p w14:paraId="55CEA924">
            <w:pPr>
              <w:spacing w:line="360" w:lineRule="auto"/>
              <w:ind w:firstLine="211" w:firstLineChars="100"/>
              <w:rPr>
                <w:rFonts w:ascii="宋体"/>
                <w:b/>
                <w:bCs/>
              </w:rPr>
            </w:pPr>
          </w:p>
          <w:p w14:paraId="743BA1AB">
            <w:pPr>
              <w:spacing w:line="360" w:lineRule="auto"/>
              <w:ind w:firstLine="211" w:firstLineChars="100"/>
              <w:rPr>
                <w:rFonts w:ascii="宋体"/>
                <w:b/>
                <w:bCs/>
              </w:rPr>
            </w:pPr>
            <w:r>
              <w:rPr>
                <w:rFonts w:hint="eastAsia" w:ascii="宋体" w:hAnsi="宋体" w:cs="宋体"/>
                <w:b/>
                <w:bCs/>
              </w:rPr>
              <w:t>法定代表人身份证正面复印件</w:t>
            </w:r>
          </w:p>
          <w:p w14:paraId="2EB603ED">
            <w:pPr>
              <w:spacing w:line="360" w:lineRule="auto"/>
              <w:rPr>
                <w:rFonts w:ascii="宋体"/>
                <w:b/>
                <w:bCs/>
              </w:rPr>
            </w:pPr>
          </w:p>
        </w:tc>
      </w:tr>
    </w:tbl>
    <w:p w14:paraId="6F26A11B">
      <w:pPr>
        <w:spacing w:line="360" w:lineRule="auto"/>
        <w:rPr>
          <w:rFonts w:ascii="宋体"/>
          <w:vanish/>
        </w:rPr>
      </w:pPr>
    </w:p>
    <w:tbl>
      <w:tblPr>
        <w:tblStyle w:val="23"/>
        <w:tblpPr w:leftFromText="180" w:rightFromText="180" w:vertAnchor="text" w:horzAnchor="margin" w:tblpXSpec="right" w:tblpY="683"/>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14:paraId="055A4AE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0" w:hRule="atLeast"/>
        </w:trPr>
        <w:tc>
          <w:tcPr>
            <w:tcW w:w="3960" w:type="dxa"/>
          </w:tcPr>
          <w:p w14:paraId="37FF717C">
            <w:pPr>
              <w:spacing w:line="360" w:lineRule="auto"/>
              <w:ind w:firstLine="211" w:firstLineChars="100"/>
              <w:rPr>
                <w:rFonts w:ascii="宋体"/>
                <w:b/>
                <w:bCs/>
              </w:rPr>
            </w:pPr>
          </w:p>
          <w:p w14:paraId="5DB17272">
            <w:pPr>
              <w:spacing w:line="360" w:lineRule="auto"/>
              <w:ind w:firstLine="211" w:firstLineChars="100"/>
              <w:rPr>
                <w:rFonts w:ascii="宋体"/>
                <w:b/>
                <w:bCs/>
              </w:rPr>
            </w:pPr>
            <w:r>
              <w:rPr>
                <w:rFonts w:hint="eastAsia" w:ascii="宋体" w:hAnsi="宋体" w:cs="宋体"/>
                <w:b/>
                <w:bCs/>
              </w:rPr>
              <w:t>法定代表人身份证背面复印件</w:t>
            </w:r>
          </w:p>
          <w:p w14:paraId="7B80556E">
            <w:pPr>
              <w:spacing w:line="360" w:lineRule="auto"/>
              <w:rPr>
                <w:rFonts w:ascii="宋体"/>
                <w:b/>
                <w:bCs/>
              </w:rPr>
            </w:pPr>
          </w:p>
        </w:tc>
      </w:tr>
    </w:tbl>
    <w:p w14:paraId="73F7858F">
      <w:pPr>
        <w:tabs>
          <w:tab w:val="left" w:pos="1680"/>
          <w:tab w:val="left" w:pos="4215"/>
          <w:tab w:val="left" w:pos="4305"/>
          <w:tab w:val="left" w:pos="8000"/>
        </w:tabs>
        <w:autoSpaceDE w:val="0"/>
        <w:autoSpaceDN w:val="0"/>
        <w:adjustRightInd w:val="0"/>
        <w:snapToGrid w:val="0"/>
        <w:spacing w:line="360" w:lineRule="auto"/>
        <w:rPr>
          <w:rFonts w:ascii="宋体"/>
          <w:b/>
          <w:bCs/>
          <w:kern w:val="0"/>
        </w:rPr>
      </w:pPr>
    </w:p>
    <w:p w14:paraId="79CBA765">
      <w:pPr>
        <w:spacing w:line="360" w:lineRule="auto"/>
        <w:rPr>
          <w:rFonts w:ascii="宋体"/>
        </w:rPr>
        <w:sectPr>
          <w:footerReference r:id="rId6" w:type="first"/>
          <w:footerReference r:id="rId5" w:type="default"/>
          <w:pgSz w:w="11906" w:h="16838"/>
          <w:pgMar w:top="1276" w:right="1162" w:bottom="1135" w:left="1134" w:header="851" w:footer="992" w:gutter="0"/>
          <w:pgNumType w:start="1"/>
          <w:cols w:space="720" w:num="1"/>
          <w:titlePg/>
          <w:docGrid w:type="lines" w:linePitch="312" w:charSpace="0"/>
        </w:sectPr>
      </w:pPr>
    </w:p>
    <w:p w14:paraId="7179522C">
      <w:pPr>
        <w:spacing w:line="360" w:lineRule="auto"/>
        <w:jc w:val="center"/>
        <w:rPr>
          <w:rFonts w:hint="eastAsia" w:ascii="宋体" w:hAnsi="宋体" w:cs="宋体"/>
          <w:b/>
          <w:bCs/>
          <w:spacing w:val="8"/>
          <w:sz w:val="28"/>
          <w:szCs w:val="28"/>
        </w:rPr>
      </w:pPr>
      <w:bookmarkStart w:id="75" w:name="_Toc13276"/>
      <w:bookmarkStart w:id="76" w:name="_Toc17235"/>
      <w:r>
        <w:rPr>
          <w:rFonts w:hint="eastAsia" w:ascii="宋体" w:hAnsi="宋体" w:cs="宋体"/>
          <w:b/>
          <w:bCs/>
          <w:spacing w:val="8"/>
          <w:sz w:val="28"/>
          <w:szCs w:val="28"/>
        </w:rPr>
        <w:t>询比申请人资格证明材料</w:t>
      </w:r>
      <w:bookmarkEnd w:id="75"/>
      <w:bookmarkEnd w:id="76"/>
    </w:p>
    <w:p w14:paraId="62B94502"/>
    <w:p w14:paraId="4077EDD8">
      <w:pPr>
        <w:pStyle w:val="8"/>
        <w:numPr>
          <w:ilvl w:val="0"/>
          <w:numId w:val="2"/>
        </w:numPr>
        <w:jc w:val="left"/>
        <w:rPr>
          <w:rFonts w:hint="eastAsia"/>
        </w:rPr>
      </w:pPr>
      <w:r>
        <w:rPr>
          <w:rFonts w:hint="eastAsia"/>
        </w:rPr>
        <w:t>营业执照</w:t>
      </w:r>
    </w:p>
    <w:p w14:paraId="27D57C09">
      <w:pPr>
        <w:pStyle w:val="8"/>
        <w:numPr>
          <w:ilvl w:val="0"/>
          <w:numId w:val="2"/>
        </w:numPr>
        <w:jc w:val="left"/>
        <w:rPr>
          <w:rFonts w:hint="eastAsia"/>
        </w:rPr>
      </w:pPr>
      <w:r>
        <w:t>业绩</w:t>
      </w:r>
      <w:r>
        <w:rPr>
          <w:rFonts w:hint="eastAsia"/>
        </w:rPr>
        <w:t>合同</w:t>
      </w:r>
    </w:p>
    <w:p w14:paraId="14E1D5FD">
      <w:r>
        <w:br w:type="page"/>
      </w:r>
    </w:p>
    <w:p w14:paraId="34EBBC9E">
      <w:pPr>
        <w:pStyle w:val="8"/>
        <w:jc w:val="center"/>
        <w:rPr>
          <w:rFonts w:hint="eastAsia"/>
        </w:rPr>
      </w:pPr>
      <w:r>
        <w:rPr>
          <w:rFonts w:hint="eastAsia"/>
          <w:b/>
          <w:bCs/>
        </w:rPr>
        <w:t>承诺书</w:t>
      </w:r>
    </w:p>
    <w:p w14:paraId="6D78DD0A">
      <w:pPr>
        <w:spacing w:line="360" w:lineRule="auto"/>
        <w:rPr>
          <w:rFonts w:hint="eastAsia" w:ascii="宋体" w:hAnsi="宋体" w:cs="宋体"/>
        </w:rPr>
      </w:pPr>
      <w:r>
        <w:rPr>
          <w:rFonts w:hint="eastAsia" w:ascii="宋体" w:hAnsi="宋体" w:cs="宋体"/>
        </w:rPr>
        <w:tab/>
      </w:r>
      <w:r>
        <w:rPr>
          <w:rFonts w:hint="eastAsia" w:ascii="宋体" w:hAnsi="宋体" w:cs="宋体"/>
        </w:rPr>
        <w:t xml:space="preserve">        （采购人名称）：</w:t>
      </w:r>
    </w:p>
    <w:p w14:paraId="1CF9A48C">
      <w:pPr>
        <w:spacing w:line="360" w:lineRule="auto"/>
        <w:ind w:firstLine="420" w:firstLineChars="200"/>
        <w:rPr>
          <w:rFonts w:hint="eastAsia" w:ascii="宋体" w:hAnsi="宋体" w:cs="宋体"/>
        </w:rPr>
      </w:pPr>
      <w:r>
        <w:rPr>
          <w:rFonts w:hint="eastAsia" w:ascii="宋体" w:hAnsi="宋体" w:cs="宋体"/>
        </w:rPr>
        <w:t>我公司     （供应商名称）参加了贵单位      （项目名称）的询比，自愿作出以下承诺：</w:t>
      </w:r>
    </w:p>
    <w:p w14:paraId="342AFA47">
      <w:pPr>
        <w:spacing w:line="400" w:lineRule="exact"/>
        <w:ind w:firstLine="420" w:firstLineChars="200"/>
        <w:jc w:val="left"/>
        <w:rPr>
          <w:rFonts w:hint="eastAsia" w:ascii="宋体" w:hAnsi="宋体" w:cs="宋体"/>
        </w:rPr>
      </w:pPr>
      <w:r>
        <w:rPr>
          <w:rFonts w:hint="eastAsia" w:ascii="宋体" w:hAnsi="宋体" w:cs="宋体"/>
        </w:rPr>
        <w:t>1、我公司具有良好的商业信誉和健全的财务会计制度；</w:t>
      </w:r>
    </w:p>
    <w:p w14:paraId="0CA72E72">
      <w:pPr>
        <w:spacing w:line="400" w:lineRule="exact"/>
        <w:ind w:firstLine="420" w:firstLineChars="200"/>
        <w:jc w:val="left"/>
        <w:rPr>
          <w:rFonts w:hint="eastAsia" w:ascii="宋体" w:hAnsi="宋体" w:cs="宋体"/>
        </w:rPr>
      </w:pPr>
      <w:r>
        <w:rPr>
          <w:rFonts w:hint="eastAsia" w:ascii="宋体" w:hAnsi="宋体" w:cs="宋体"/>
        </w:rPr>
        <w:t>2、我公司有依法缴纳税收和社会保障资金的良好记录；</w:t>
      </w:r>
    </w:p>
    <w:p w14:paraId="64B99DB7">
      <w:pPr>
        <w:spacing w:line="400" w:lineRule="exact"/>
        <w:ind w:firstLine="420" w:firstLineChars="200"/>
        <w:jc w:val="left"/>
        <w:rPr>
          <w:rFonts w:hint="eastAsia" w:ascii="宋体" w:hAnsi="宋体" w:cs="宋体"/>
        </w:rPr>
      </w:pPr>
      <w:r>
        <w:rPr>
          <w:rFonts w:hint="eastAsia" w:ascii="宋体" w:hAnsi="宋体" w:cs="宋体"/>
        </w:rPr>
        <w:t>3、我公司不存在以下情形之一：</w:t>
      </w:r>
    </w:p>
    <w:p w14:paraId="15A2B890">
      <w:pPr>
        <w:spacing w:line="400" w:lineRule="exact"/>
        <w:ind w:firstLine="420" w:firstLineChars="200"/>
        <w:jc w:val="left"/>
        <w:rPr>
          <w:rFonts w:hint="eastAsia" w:ascii="宋体" w:hAnsi="宋体" w:cs="宋体"/>
        </w:rPr>
      </w:pPr>
      <w:r>
        <w:rPr>
          <w:rFonts w:hint="eastAsia" w:ascii="宋体" w:hAnsi="宋体" w:cs="宋体"/>
        </w:rPr>
        <w:t xml:space="preserve">（1）与采购方存在利害关系且可能影响采购活动公正性； </w:t>
      </w:r>
    </w:p>
    <w:p w14:paraId="1F6E99F0">
      <w:pPr>
        <w:spacing w:line="400" w:lineRule="exact"/>
        <w:ind w:firstLine="420" w:firstLineChars="200"/>
        <w:jc w:val="left"/>
        <w:rPr>
          <w:rFonts w:hint="eastAsia" w:ascii="宋体" w:hAnsi="宋体" w:cs="宋体"/>
        </w:rPr>
      </w:pPr>
      <w:r>
        <w:rPr>
          <w:rFonts w:hint="eastAsia" w:ascii="宋体" w:hAnsi="宋体" w:cs="宋体"/>
        </w:rPr>
        <w:t xml:space="preserve">（2）与本采购项目的其他供应商为同一个单位负责人；  </w:t>
      </w:r>
    </w:p>
    <w:p w14:paraId="071F131F">
      <w:pPr>
        <w:spacing w:line="400" w:lineRule="exact"/>
        <w:ind w:firstLine="420" w:firstLineChars="200"/>
        <w:jc w:val="left"/>
        <w:rPr>
          <w:rFonts w:hint="eastAsia" w:ascii="宋体" w:hAnsi="宋体" w:cs="宋体"/>
        </w:rPr>
      </w:pPr>
      <w:r>
        <w:rPr>
          <w:rFonts w:hint="eastAsia" w:ascii="宋体" w:hAnsi="宋体" w:cs="宋体"/>
        </w:rPr>
        <w:t xml:space="preserve">（3）与本采购项目的其他供应商存在控股、管理关系； </w:t>
      </w:r>
    </w:p>
    <w:p w14:paraId="71BA69B1">
      <w:pPr>
        <w:spacing w:line="400" w:lineRule="exact"/>
        <w:ind w:firstLine="420" w:firstLineChars="200"/>
        <w:jc w:val="left"/>
        <w:rPr>
          <w:rFonts w:hint="eastAsia" w:ascii="宋体" w:hAnsi="宋体" w:cs="宋体"/>
        </w:rPr>
      </w:pPr>
      <w:r>
        <w:rPr>
          <w:rFonts w:hint="eastAsia" w:ascii="宋体" w:hAnsi="宋体" w:cs="宋体"/>
        </w:rPr>
        <w:t xml:space="preserve">（4）被依法暂停或者取消投标资格； </w:t>
      </w:r>
    </w:p>
    <w:p w14:paraId="32507E2D">
      <w:pPr>
        <w:spacing w:line="400" w:lineRule="exact"/>
        <w:ind w:firstLine="420" w:firstLineChars="200"/>
        <w:jc w:val="left"/>
        <w:rPr>
          <w:rFonts w:hint="eastAsia" w:ascii="宋体" w:hAnsi="宋体" w:cs="宋体"/>
        </w:rPr>
      </w:pPr>
      <w:r>
        <w:rPr>
          <w:rFonts w:hint="eastAsia" w:ascii="宋体" w:hAnsi="宋体" w:cs="宋体"/>
        </w:rPr>
        <w:t>（5）被其他采购方列入黑名单并在其官网公布的；</w:t>
      </w:r>
    </w:p>
    <w:p w14:paraId="05F71F79">
      <w:pPr>
        <w:spacing w:line="400" w:lineRule="exact"/>
        <w:ind w:firstLine="420" w:firstLineChars="200"/>
        <w:jc w:val="left"/>
        <w:rPr>
          <w:rFonts w:hint="eastAsia" w:ascii="宋体" w:hAnsi="宋体" w:cs="宋体"/>
        </w:rPr>
      </w:pPr>
      <w:r>
        <w:rPr>
          <w:rFonts w:hint="eastAsia" w:ascii="宋体" w:hAnsi="宋体" w:cs="宋体"/>
        </w:rPr>
        <w:t xml:space="preserve">（6）被责令停产停业、暂扣或者吊销许可证、暂扣或者吊销执照； </w:t>
      </w:r>
    </w:p>
    <w:p w14:paraId="02CA1E9E">
      <w:pPr>
        <w:spacing w:line="400" w:lineRule="exact"/>
        <w:ind w:firstLine="420" w:firstLineChars="200"/>
        <w:jc w:val="left"/>
        <w:rPr>
          <w:rFonts w:hint="eastAsia" w:ascii="宋体" w:hAnsi="宋体" w:cs="宋体"/>
        </w:rPr>
      </w:pPr>
      <w:r>
        <w:rPr>
          <w:rFonts w:hint="eastAsia" w:ascii="宋体" w:hAnsi="宋体" w:cs="宋体"/>
        </w:rPr>
        <w:t xml:space="preserve">（7）进入清算程序，或被宣告破产，或其他丧失履约能力的情形； </w:t>
      </w:r>
    </w:p>
    <w:p w14:paraId="64D2FEAE">
      <w:pPr>
        <w:spacing w:line="400" w:lineRule="exact"/>
        <w:ind w:firstLine="420" w:firstLineChars="200"/>
        <w:jc w:val="left"/>
        <w:rPr>
          <w:rFonts w:hint="eastAsia" w:ascii="宋体" w:hAnsi="宋体" w:cs="宋体"/>
        </w:rPr>
      </w:pPr>
      <w:r>
        <w:rPr>
          <w:rFonts w:hint="eastAsia" w:ascii="宋体" w:hAnsi="宋体" w:cs="宋体"/>
        </w:rPr>
        <w:t xml:space="preserve">（8）在最近三年内发生重大产品质量问题； </w:t>
      </w:r>
    </w:p>
    <w:p w14:paraId="60A53BA3">
      <w:pPr>
        <w:spacing w:line="400" w:lineRule="exact"/>
        <w:ind w:firstLine="420" w:firstLineChars="200"/>
        <w:jc w:val="left"/>
        <w:rPr>
          <w:rFonts w:hint="eastAsia" w:ascii="宋体" w:hAnsi="宋体" w:cs="宋体"/>
        </w:rPr>
      </w:pPr>
      <w:r>
        <w:rPr>
          <w:rFonts w:hint="eastAsia" w:ascii="宋体" w:hAnsi="宋体" w:cs="宋体"/>
        </w:rPr>
        <w:t xml:space="preserve">（9）被市场监督管理机关在全国企业信用信息公示系统中列入经营异常、严重违法失信企业名单； </w:t>
      </w:r>
    </w:p>
    <w:p w14:paraId="2A958D69">
      <w:pPr>
        <w:spacing w:line="400" w:lineRule="exact"/>
        <w:ind w:firstLine="420" w:firstLineChars="200"/>
        <w:jc w:val="left"/>
        <w:rPr>
          <w:rFonts w:hint="eastAsia" w:ascii="宋体" w:hAnsi="宋体" w:cs="宋体"/>
        </w:rPr>
      </w:pPr>
      <w:r>
        <w:rPr>
          <w:rFonts w:hint="eastAsia" w:ascii="宋体" w:hAnsi="宋体" w:cs="宋体"/>
        </w:rPr>
        <w:t xml:space="preserve">（10）被列为失信被执行人名单； </w:t>
      </w:r>
    </w:p>
    <w:p w14:paraId="143D66DB">
      <w:pPr>
        <w:spacing w:line="400" w:lineRule="exact"/>
        <w:ind w:firstLine="420" w:firstLineChars="200"/>
        <w:jc w:val="left"/>
        <w:rPr>
          <w:rFonts w:hint="eastAsia" w:ascii="宋体" w:hAnsi="宋体" w:cs="宋体"/>
        </w:rPr>
      </w:pPr>
      <w:r>
        <w:rPr>
          <w:rFonts w:hint="eastAsia" w:ascii="宋体" w:hAnsi="宋体" w:cs="宋体"/>
        </w:rPr>
        <w:t>（11）法律法规规定的其他情形。</w:t>
      </w:r>
    </w:p>
    <w:p w14:paraId="72B6B9F4">
      <w:pPr>
        <w:spacing w:line="400" w:lineRule="exact"/>
        <w:ind w:firstLine="420" w:firstLineChars="200"/>
        <w:jc w:val="left"/>
        <w:rPr>
          <w:rFonts w:hint="eastAsia" w:ascii="宋体" w:hAnsi="宋体" w:cs="宋体"/>
        </w:rPr>
      </w:pPr>
      <w:r>
        <w:rPr>
          <w:rFonts w:hint="eastAsia" w:ascii="宋体" w:hAnsi="宋体" w:cs="宋体"/>
        </w:rPr>
        <w:t>4、我公司并非联合体参与本项目询比，并承诺本项目不转包、不分包、不挂靠；</w:t>
      </w:r>
    </w:p>
    <w:p w14:paraId="75A63A3C">
      <w:pPr>
        <w:spacing w:line="400" w:lineRule="exact"/>
        <w:ind w:firstLine="420" w:firstLineChars="200"/>
        <w:jc w:val="left"/>
        <w:rPr>
          <w:rFonts w:hint="eastAsia" w:ascii="宋体" w:hAnsi="宋体" w:cs="宋体"/>
        </w:rPr>
      </w:pPr>
      <w:r>
        <w:rPr>
          <w:rFonts w:hint="eastAsia" w:ascii="宋体" w:hAnsi="宋体" w:cs="宋体"/>
        </w:rPr>
        <w:t>5、我公司的响应文件中没有贵单位不能接受的条件。入围后严格按照</w:t>
      </w:r>
      <w:bookmarkStart w:id="77" w:name="OLE_LINK2"/>
      <w:r>
        <w:rPr>
          <w:rFonts w:hint="eastAsia" w:ascii="宋体" w:hAnsi="宋体" w:cs="宋体"/>
        </w:rPr>
        <w:t>询比文件</w:t>
      </w:r>
      <w:bookmarkEnd w:id="77"/>
      <w:r>
        <w:rPr>
          <w:rFonts w:hint="eastAsia" w:ascii="宋体" w:hAnsi="宋体" w:cs="宋体"/>
        </w:rPr>
        <w:t>要求与采购人签订合同。</w:t>
      </w:r>
    </w:p>
    <w:p w14:paraId="47CCB162">
      <w:pPr>
        <w:pStyle w:val="21"/>
        <w:spacing w:line="400" w:lineRule="exact"/>
        <w:ind w:left="63" w:right="63" w:firstLineChars="200"/>
        <w:jc w:val="left"/>
        <w:rPr>
          <w:rFonts w:hint="eastAsia"/>
          <w:sz w:val="21"/>
          <w:szCs w:val="21"/>
        </w:rPr>
      </w:pPr>
      <w:r>
        <w:rPr>
          <w:rFonts w:hint="eastAsia"/>
          <w:sz w:val="21"/>
          <w:szCs w:val="21"/>
        </w:rPr>
        <w:t>特此承诺！</w:t>
      </w:r>
    </w:p>
    <w:p w14:paraId="26D539F9">
      <w:pPr>
        <w:pStyle w:val="21"/>
        <w:spacing w:line="400" w:lineRule="exact"/>
        <w:ind w:left="63" w:right="63" w:firstLineChars="200"/>
        <w:jc w:val="left"/>
        <w:rPr>
          <w:rFonts w:hint="eastAsia"/>
          <w:sz w:val="21"/>
          <w:szCs w:val="21"/>
        </w:rPr>
      </w:pPr>
    </w:p>
    <w:p w14:paraId="2FF4C1BD">
      <w:pPr>
        <w:tabs>
          <w:tab w:val="left" w:pos="5460"/>
        </w:tabs>
        <w:autoSpaceDE w:val="0"/>
        <w:autoSpaceDN w:val="0"/>
        <w:adjustRightInd w:val="0"/>
        <w:snapToGrid w:val="0"/>
        <w:spacing w:line="360" w:lineRule="auto"/>
        <w:ind w:firstLine="2100"/>
        <w:jc w:val="right"/>
        <w:rPr>
          <w:rFonts w:hint="eastAsia" w:ascii="宋体" w:hAnsi="宋体" w:cs="宋体"/>
        </w:rPr>
      </w:pPr>
    </w:p>
    <w:p w14:paraId="7F8594C6">
      <w:pPr>
        <w:tabs>
          <w:tab w:val="left" w:pos="5460"/>
        </w:tabs>
        <w:autoSpaceDE w:val="0"/>
        <w:autoSpaceDN w:val="0"/>
        <w:adjustRightInd w:val="0"/>
        <w:snapToGrid w:val="0"/>
        <w:spacing w:line="360" w:lineRule="auto"/>
        <w:ind w:firstLine="2100"/>
        <w:jc w:val="right"/>
        <w:rPr>
          <w:rFonts w:hint="eastAsia" w:ascii="宋体" w:hAnsi="宋体" w:cs="宋体"/>
        </w:rPr>
      </w:pPr>
      <w:r>
        <w:rPr>
          <w:rFonts w:hint="eastAsia" w:ascii="宋体" w:hAnsi="宋体" w:cs="宋体"/>
        </w:rPr>
        <w:t xml:space="preserve">  询比申请人：</w:t>
      </w:r>
      <w:r>
        <w:rPr>
          <w:rFonts w:hint="eastAsia" w:ascii="宋体" w:hAnsi="宋体" w:cs="宋体"/>
        </w:rPr>
        <w:tab/>
      </w:r>
      <w:r>
        <w:rPr>
          <w:rFonts w:hint="eastAsia" w:ascii="宋体" w:hAnsi="宋体" w:cs="宋体"/>
        </w:rPr>
        <w:t>（盖单位公章）</w:t>
      </w:r>
    </w:p>
    <w:p w14:paraId="697B5BE3">
      <w:pPr>
        <w:pStyle w:val="102"/>
        <w:tabs>
          <w:tab w:val="left" w:pos="525"/>
        </w:tabs>
        <w:spacing w:after="156" w:afterLines="50" w:line="360" w:lineRule="auto"/>
        <w:ind w:firstLine="0"/>
        <w:jc w:val="right"/>
        <w:rPr>
          <w:rFonts w:hint="eastAsia" w:ascii="宋体" w:hAnsi="宋体" w:cs="宋体"/>
          <w:sz w:val="24"/>
        </w:rPr>
      </w:pPr>
      <w:r>
        <w:rPr>
          <w:rFonts w:hint="eastAsia" w:ascii="宋体" w:hAnsi="宋体" w:cs="宋体"/>
          <w:sz w:val="21"/>
          <w:szCs w:val="21"/>
        </w:rPr>
        <w:t>法定代表人或其委托代理人：   （签字或盖章）</w:t>
      </w:r>
    </w:p>
    <w:p w14:paraId="3250C897">
      <w:pPr>
        <w:autoSpaceDE w:val="0"/>
        <w:autoSpaceDN w:val="0"/>
        <w:adjustRightInd w:val="0"/>
        <w:snapToGrid w:val="0"/>
        <w:spacing w:line="360" w:lineRule="auto"/>
        <w:jc w:val="right"/>
        <w:rPr>
          <w:rFonts w:ascii="宋体"/>
          <w:kern w:val="0"/>
          <w:sz w:val="24"/>
          <w:szCs w:val="24"/>
        </w:rPr>
      </w:pPr>
    </w:p>
    <w:p w14:paraId="09E51084">
      <w:pPr>
        <w:rPr>
          <w:rFonts w:hint="eastAsia" w:ascii="宋体" w:hAnsi="宋体" w:cs="宋体"/>
          <w:kern w:val="0"/>
          <w:sz w:val="24"/>
          <w:szCs w:val="24"/>
        </w:rPr>
      </w:pPr>
      <w:r>
        <w:rPr>
          <w:rFonts w:hint="eastAsia" w:ascii="宋体"/>
          <w:kern w:val="0"/>
          <w:sz w:val="24"/>
          <w:szCs w:val="24"/>
        </w:rPr>
        <w:t xml:space="preserve">                                                              </w:t>
      </w:r>
      <w:r>
        <w:rPr>
          <w:rFonts w:hint="eastAsia" w:ascii="宋体" w:hAnsi="宋体" w:cs="宋体"/>
          <w:spacing w:val="-1"/>
          <w:kern w:val="0"/>
          <w:sz w:val="24"/>
          <w:szCs w:val="24"/>
        </w:rPr>
        <w:t xml:space="preserve">年   </w:t>
      </w:r>
      <w:r>
        <w:rPr>
          <w:rFonts w:hint="eastAsia" w:ascii="宋体" w:hAnsi="宋体" w:cs="宋体"/>
          <w:kern w:val="0"/>
          <w:sz w:val="24"/>
          <w:szCs w:val="24"/>
        </w:rPr>
        <w:t>月   日</w:t>
      </w:r>
    </w:p>
    <w:p w14:paraId="7E45053D">
      <w:pPr>
        <w:rPr>
          <w:rFonts w:hint="eastAsia" w:ascii="宋体" w:hAnsi="宋体" w:cs="宋体"/>
          <w:kern w:val="0"/>
          <w:sz w:val="24"/>
          <w:szCs w:val="24"/>
        </w:rPr>
      </w:pPr>
    </w:p>
    <w:p w14:paraId="6BD5CC6D">
      <w:pPr>
        <w:rPr>
          <w:rFonts w:hint="eastAsia" w:ascii="宋体" w:hAnsi="宋体" w:cs="宋体"/>
          <w:kern w:val="0"/>
          <w:sz w:val="24"/>
          <w:szCs w:val="24"/>
        </w:rPr>
      </w:pPr>
    </w:p>
    <w:p w14:paraId="1101DB2A">
      <w:pPr>
        <w:spacing w:line="360" w:lineRule="auto"/>
        <w:rPr>
          <w:rFonts w:hint="eastAsia" w:ascii="宋体" w:hAnsi="宋体" w:cs="宋体"/>
        </w:rPr>
      </w:pPr>
      <w:r>
        <w:rPr>
          <w:rFonts w:hint="eastAsia" w:ascii="宋体" w:hAnsi="宋体" w:cs="宋体"/>
        </w:rPr>
        <w:t>（后附查询结果截图）</w:t>
      </w:r>
    </w:p>
    <w:p w14:paraId="72EA6F82">
      <w:r>
        <w:br w:type="page"/>
      </w:r>
    </w:p>
    <w:p w14:paraId="6DDB295D">
      <w:pPr>
        <w:pStyle w:val="40"/>
        <w:ind w:firstLine="520"/>
        <w:rPr>
          <w:rFonts w:hint="eastAsia"/>
        </w:rPr>
      </w:pPr>
    </w:p>
    <w:p w14:paraId="36DB0DF9">
      <w:pPr>
        <w:spacing w:line="360" w:lineRule="auto"/>
        <w:jc w:val="center"/>
        <w:rPr>
          <w:rFonts w:ascii="宋体"/>
          <w:b/>
          <w:bCs/>
          <w:sz w:val="28"/>
          <w:szCs w:val="28"/>
        </w:rPr>
      </w:pPr>
      <w:bookmarkStart w:id="78" w:name="_Toc12557"/>
      <w:bookmarkStart w:id="79" w:name="_Toc120633489"/>
      <w:bookmarkStart w:id="80" w:name="_Toc26105"/>
      <w:r>
        <w:rPr>
          <w:rFonts w:hint="eastAsia" w:ascii="宋体" w:hAnsi="宋体" w:cs="宋体"/>
          <w:b/>
          <w:bCs/>
          <w:sz w:val="28"/>
          <w:szCs w:val="28"/>
        </w:rPr>
        <w:t>询比文件规定的其它资料</w:t>
      </w:r>
      <w:bookmarkEnd w:id="78"/>
      <w:bookmarkEnd w:id="79"/>
      <w:bookmarkEnd w:id="80"/>
      <w:r>
        <w:rPr>
          <w:rFonts w:hint="eastAsia" w:ascii="宋体" w:hAnsi="宋体" w:cs="宋体"/>
          <w:b/>
          <w:bCs/>
          <w:sz w:val="28"/>
          <w:szCs w:val="28"/>
        </w:rPr>
        <w:t>(如有)</w:t>
      </w:r>
    </w:p>
    <w:p w14:paraId="0CB3D2BE">
      <w:pPr>
        <w:spacing w:line="360" w:lineRule="auto"/>
        <w:ind w:firstLine="630" w:firstLineChars="300"/>
        <w:jc w:val="left"/>
        <w:rPr>
          <w:rFonts w:hint="eastAsia" w:ascii="宋体" w:hAnsi="宋体" w:cs="宋体"/>
        </w:rPr>
      </w:pPr>
    </w:p>
    <w:p w14:paraId="69A868DC">
      <w:pPr>
        <w:spacing w:line="360" w:lineRule="auto"/>
        <w:ind w:firstLine="630" w:firstLineChars="300"/>
        <w:jc w:val="left"/>
        <w:rPr>
          <w:rFonts w:hint="eastAsia" w:ascii="宋体" w:hAnsi="宋体" w:cs="宋体"/>
        </w:rPr>
      </w:pPr>
      <w:r>
        <w:rPr>
          <w:rFonts w:hint="eastAsia" w:ascii="宋体" w:hAnsi="宋体" w:cs="宋体"/>
        </w:rPr>
        <w:t>（如承诺、商务部分及技术部分的评分资料、询比申请人认为参与此次询比应提交的其他资料）</w:t>
      </w:r>
    </w:p>
    <w:p w14:paraId="7CCBB5B5">
      <w:pPr>
        <w:spacing w:line="360" w:lineRule="auto"/>
        <w:jc w:val="center"/>
        <w:rPr>
          <w:rFonts w:ascii="宋体"/>
          <w:b/>
          <w:bCs/>
          <w:sz w:val="28"/>
          <w:szCs w:val="28"/>
        </w:rPr>
      </w:pPr>
    </w:p>
    <w:p w14:paraId="2E06CF46">
      <w:pPr>
        <w:spacing w:line="360" w:lineRule="auto"/>
        <w:jc w:val="center"/>
        <w:rPr>
          <w:rFonts w:ascii="宋体"/>
          <w:b/>
          <w:bCs/>
          <w:sz w:val="28"/>
          <w:szCs w:val="28"/>
        </w:rPr>
      </w:pPr>
    </w:p>
    <w:p w14:paraId="564A8745">
      <w:pPr>
        <w:spacing w:line="360" w:lineRule="auto"/>
        <w:jc w:val="center"/>
        <w:rPr>
          <w:rFonts w:ascii="宋体"/>
          <w:b/>
          <w:bCs/>
          <w:sz w:val="28"/>
          <w:szCs w:val="28"/>
        </w:rPr>
      </w:pPr>
    </w:p>
    <w:p w14:paraId="04344FEA">
      <w:pPr>
        <w:spacing w:line="360" w:lineRule="auto"/>
        <w:jc w:val="center"/>
        <w:rPr>
          <w:rFonts w:ascii="宋体"/>
          <w:b/>
          <w:bCs/>
          <w:sz w:val="28"/>
          <w:szCs w:val="28"/>
        </w:rPr>
      </w:pPr>
    </w:p>
    <w:p w14:paraId="65EA826C">
      <w:pPr>
        <w:spacing w:line="360" w:lineRule="auto"/>
        <w:jc w:val="center"/>
        <w:rPr>
          <w:rFonts w:ascii="宋体"/>
          <w:b/>
          <w:bCs/>
          <w:sz w:val="28"/>
          <w:szCs w:val="28"/>
        </w:rPr>
      </w:pPr>
    </w:p>
    <w:p w14:paraId="709A4ED6">
      <w:pPr>
        <w:spacing w:line="360" w:lineRule="auto"/>
        <w:jc w:val="center"/>
        <w:rPr>
          <w:rFonts w:ascii="宋体"/>
          <w:b/>
          <w:bCs/>
          <w:sz w:val="28"/>
          <w:szCs w:val="28"/>
        </w:rPr>
      </w:pPr>
    </w:p>
    <w:p w14:paraId="6ACF4D45">
      <w:pPr>
        <w:spacing w:line="360" w:lineRule="auto"/>
        <w:jc w:val="center"/>
        <w:rPr>
          <w:rFonts w:ascii="宋体"/>
          <w:b/>
          <w:bCs/>
          <w:sz w:val="28"/>
          <w:szCs w:val="28"/>
        </w:rPr>
      </w:pPr>
    </w:p>
    <w:p w14:paraId="2DD42EB4">
      <w:pPr>
        <w:spacing w:line="360" w:lineRule="auto"/>
        <w:jc w:val="center"/>
        <w:rPr>
          <w:rFonts w:ascii="宋体"/>
          <w:b/>
          <w:bCs/>
          <w:sz w:val="28"/>
          <w:szCs w:val="28"/>
        </w:rPr>
      </w:pPr>
    </w:p>
    <w:p w14:paraId="401072C0">
      <w:pPr>
        <w:spacing w:line="360" w:lineRule="auto"/>
        <w:jc w:val="center"/>
        <w:rPr>
          <w:rFonts w:ascii="宋体"/>
          <w:b/>
          <w:bCs/>
          <w:sz w:val="28"/>
          <w:szCs w:val="28"/>
        </w:rPr>
      </w:pPr>
    </w:p>
    <w:p w14:paraId="520F14E7">
      <w:pPr>
        <w:spacing w:line="360" w:lineRule="auto"/>
        <w:jc w:val="center"/>
        <w:rPr>
          <w:rFonts w:ascii="宋体"/>
          <w:b/>
          <w:bCs/>
          <w:sz w:val="28"/>
          <w:szCs w:val="28"/>
        </w:rPr>
      </w:pPr>
    </w:p>
    <w:p w14:paraId="27A1C400">
      <w:pPr>
        <w:spacing w:line="360" w:lineRule="auto"/>
        <w:jc w:val="center"/>
        <w:rPr>
          <w:rFonts w:ascii="宋体"/>
          <w:b/>
          <w:bCs/>
          <w:sz w:val="28"/>
          <w:szCs w:val="28"/>
        </w:rPr>
      </w:pPr>
    </w:p>
    <w:p w14:paraId="03E904ED">
      <w:pPr>
        <w:spacing w:line="360" w:lineRule="auto"/>
        <w:jc w:val="center"/>
        <w:rPr>
          <w:rFonts w:ascii="宋体"/>
          <w:b/>
          <w:bCs/>
          <w:sz w:val="28"/>
          <w:szCs w:val="28"/>
        </w:rPr>
      </w:pPr>
    </w:p>
    <w:p w14:paraId="1D6EB22B">
      <w:pPr>
        <w:spacing w:line="360" w:lineRule="auto"/>
        <w:jc w:val="center"/>
        <w:rPr>
          <w:rFonts w:ascii="宋体"/>
          <w:b/>
          <w:bCs/>
          <w:sz w:val="28"/>
          <w:szCs w:val="28"/>
        </w:rPr>
      </w:pPr>
    </w:p>
    <w:p w14:paraId="3AB5ECB2">
      <w:pPr>
        <w:rPr>
          <w:rFonts w:ascii="宋体"/>
          <w:b/>
          <w:bCs/>
          <w:sz w:val="28"/>
          <w:szCs w:val="28"/>
        </w:rPr>
      </w:pPr>
      <w:r>
        <w:rPr>
          <w:rFonts w:ascii="宋体"/>
          <w:b/>
          <w:bCs/>
          <w:sz w:val="28"/>
          <w:szCs w:val="28"/>
        </w:rPr>
        <w:br w:type="page"/>
      </w:r>
    </w:p>
    <w:p w14:paraId="704630AB">
      <w:pPr>
        <w:snapToGrid w:val="0"/>
        <w:spacing w:line="360" w:lineRule="auto"/>
        <w:jc w:val="center"/>
        <w:outlineLvl w:val="0"/>
        <w:rPr>
          <w:rFonts w:hint="eastAsia" w:ascii="宋体" w:hAnsi="宋体" w:cs="宋体"/>
          <w:b/>
          <w:bCs/>
          <w:sz w:val="28"/>
          <w:szCs w:val="28"/>
        </w:rPr>
      </w:pPr>
      <w:bookmarkStart w:id="81" w:name="_Toc19146"/>
      <w:r>
        <w:rPr>
          <w:rFonts w:hint="eastAsia" w:ascii="宋体" w:hAnsi="宋体" w:cs="宋体"/>
          <w:b/>
          <w:bCs/>
          <w:sz w:val="28"/>
          <w:szCs w:val="28"/>
        </w:rPr>
        <w:t>第四部分 合同条款</w:t>
      </w:r>
      <w:bookmarkEnd w:id="81"/>
    </w:p>
    <w:p w14:paraId="731B2B68">
      <w:pPr>
        <w:jc w:val="left"/>
      </w:pPr>
    </w:p>
    <w:p w14:paraId="6B3D7E80">
      <w:r>
        <w:rPr>
          <w:rFonts w:hint="eastAsia"/>
        </w:rPr>
        <w:br w:type="page"/>
      </w:r>
    </w:p>
    <w:p w14:paraId="2ADA2C91">
      <w:pPr>
        <w:pStyle w:val="40"/>
        <w:jc w:val="center"/>
        <w:rPr>
          <w:rFonts w:hint="eastAsia" w:ascii="楷体" w:hAnsi="楷体" w:eastAsia="楷体" w:cs="Times New Roman"/>
          <w:color w:val="auto"/>
          <w:sz w:val="24"/>
          <w:szCs w:val="24"/>
        </w:rPr>
      </w:pPr>
      <w:r>
        <w:rPr>
          <w:rFonts w:hint="eastAsia" w:ascii="楷体" w:hAnsi="楷体" w:eastAsia="楷体" w:cs="Times New Roman"/>
          <w:color w:val="auto"/>
          <w:sz w:val="24"/>
          <w:szCs w:val="24"/>
        </w:rPr>
        <w:t>重庆市政府采购中心财税咨询服务采购合同</w:t>
      </w:r>
    </w:p>
    <w:p w14:paraId="24BC3176">
      <w:pPr>
        <w:pStyle w:val="40"/>
        <w:ind w:firstLine="7920" w:firstLineChars="3300"/>
        <w:rPr>
          <w:rFonts w:hint="eastAsia" w:ascii="楷体" w:hAnsi="楷体" w:eastAsia="楷体" w:cs="Times New Roman"/>
          <w:color w:val="auto"/>
          <w:sz w:val="24"/>
          <w:szCs w:val="24"/>
        </w:rPr>
      </w:pPr>
    </w:p>
    <w:p w14:paraId="6B8ED44E">
      <w:pPr>
        <w:pStyle w:val="40"/>
        <w:ind w:firstLine="7920" w:firstLineChars="3300"/>
        <w:rPr>
          <w:rFonts w:hint="eastAsia" w:ascii="楷体" w:hAnsi="楷体" w:eastAsia="楷体" w:cs="Times New Roman"/>
          <w:color w:val="auto"/>
          <w:sz w:val="24"/>
          <w:szCs w:val="24"/>
        </w:rPr>
      </w:pPr>
      <w:r>
        <w:rPr>
          <w:rFonts w:hint="eastAsia" w:ascii="楷体" w:hAnsi="楷体" w:eastAsia="楷体" w:cs="Times New Roman"/>
          <w:color w:val="auto"/>
          <w:sz w:val="24"/>
          <w:szCs w:val="24"/>
        </w:rPr>
        <w:t>合同编号：</w:t>
      </w:r>
    </w:p>
    <w:p w14:paraId="643D04D4">
      <w:pPr>
        <w:pStyle w:val="40"/>
        <w:rPr>
          <w:rFonts w:hint="eastAsia" w:ascii="楷体" w:hAnsi="楷体" w:eastAsia="楷体" w:cs="Times New Roman"/>
          <w:color w:val="auto"/>
          <w:sz w:val="24"/>
          <w:szCs w:val="24"/>
        </w:rPr>
      </w:pPr>
    </w:p>
    <w:p w14:paraId="4AD6A9DE">
      <w:pPr>
        <w:pStyle w:val="40"/>
        <w:rPr>
          <w:rFonts w:hint="eastAsia" w:ascii="楷体" w:hAnsi="楷体" w:eastAsia="楷体" w:cs="Times New Roman"/>
          <w:color w:val="auto"/>
          <w:sz w:val="24"/>
          <w:szCs w:val="24"/>
        </w:rPr>
      </w:pPr>
    </w:p>
    <w:p w14:paraId="484D53B4">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甲方（全称）：</w:t>
      </w:r>
    </w:p>
    <w:p w14:paraId="662ACF1B">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统一社会信用代码：</w:t>
      </w:r>
    </w:p>
    <w:p w14:paraId="6AFF99F4">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联系地址：</w:t>
      </w:r>
    </w:p>
    <w:p w14:paraId="34A72D8F">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联系人：</w:t>
      </w:r>
    </w:p>
    <w:p w14:paraId="53E7A43E">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联系电话：</w:t>
      </w:r>
    </w:p>
    <w:p w14:paraId="77BD5C3A">
      <w:pPr>
        <w:pStyle w:val="40"/>
        <w:rPr>
          <w:rFonts w:hint="eastAsia" w:ascii="楷体" w:hAnsi="楷体" w:eastAsia="楷体" w:cs="Times New Roman"/>
          <w:color w:val="auto"/>
          <w:sz w:val="24"/>
          <w:szCs w:val="24"/>
        </w:rPr>
      </w:pPr>
    </w:p>
    <w:p w14:paraId="38922523">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乙方（全称）：</w:t>
      </w:r>
    </w:p>
    <w:p w14:paraId="0DE48AE0">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统一社会信用代码：</w:t>
      </w:r>
    </w:p>
    <w:p w14:paraId="1589D5B1">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联系地址：</w:t>
      </w:r>
    </w:p>
    <w:p w14:paraId="190DD083">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联系人：</w:t>
      </w:r>
    </w:p>
    <w:p w14:paraId="6C305141">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联系电话：</w:t>
      </w:r>
    </w:p>
    <w:p w14:paraId="03D5FA88">
      <w:pPr>
        <w:pStyle w:val="40"/>
        <w:rPr>
          <w:rFonts w:hint="eastAsia" w:ascii="楷体" w:hAnsi="楷体" w:eastAsia="楷体" w:cs="Times New Roman"/>
          <w:color w:val="auto"/>
          <w:sz w:val="24"/>
          <w:szCs w:val="24"/>
        </w:rPr>
      </w:pPr>
    </w:p>
    <w:p w14:paraId="066F7D23">
      <w:pPr>
        <w:pStyle w:val="40"/>
        <w:rPr>
          <w:rFonts w:hint="eastAsia" w:ascii="楷体" w:hAnsi="楷体" w:eastAsia="楷体" w:cs="Times New Roman"/>
          <w:color w:val="auto"/>
          <w:sz w:val="24"/>
          <w:szCs w:val="24"/>
        </w:rPr>
      </w:pPr>
    </w:p>
    <w:p w14:paraId="6CB31CD4">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根据《中华人民共和国民法典》和相关法律、法规、规章的规定，甲乙双方遵循自愿、公平、诚实信用的原则，就甲方委托乙方提供财税咨询服务相关事宜达成一致，</w:t>
      </w:r>
      <w:r>
        <w:rPr>
          <w:rFonts w:ascii="楷体" w:hAnsi="楷体" w:eastAsia="楷体" w:cs="Times New Roman"/>
          <w:color w:val="auto"/>
          <w:sz w:val="24"/>
          <w:szCs w:val="24"/>
        </w:rPr>
        <w:t>签订</w:t>
      </w:r>
      <w:r>
        <w:rPr>
          <w:rFonts w:hint="eastAsia" w:ascii="楷体" w:hAnsi="楷体" w:eastAsia="楷体" w:cs="Times New Roman"/>
          <w:color w:val="auto"/>
          <w:sz w:val="24"/>
          <w:szCs w:val="24"/>
        </w:rPr>
        <w:t>本约定书，</w:t>
      </w:r>
      <w:r>
        <w:rPr>
          <w:rFonts w:ascii="楷体" w:hAnsi="楷体" w:eastAsia="楷体" w:cs="Times New Roman"/>
          <w:color w:val="auto"/>
          <w:sz w:val="24"/>
          <w:szCs w:val="24"/>
        </w:rPr>
        <w:t>以资共同信守</w:t>
      </w:r>
      <w:r>
        <w:rPr>
          <w:rFonts w:hint="eastAsia" w:ascii="楷体" w:hAnsi="楷体" w:eastAsia="楷体" w:cs="Times New Roman"/>
          <w:color w:val="auto"/>
          <w:sz w:val="24"/>
          <w:szCs w:val="24"/>
        </w:rPr>
        <w:t>。</w:t>
      </w:r>
    </w:p>
    <w:p w14:paraId="37CEA4EF">
      <w:pPr>
        <w:pStyle w:val="40"/>
        <w:ind w:firstLine="482"/>
        <w:rPr>
          <w:rFonts w:hint="eastAsia" w:ascii="楷体" w:hAnsi="楷体" w:eastAsia="楷体" w:cs="Times New Roman"/>
          <w:color w:val="auto"/>
          <w:sz w:val="24"/>
          <w:szCs w:val="24"/>
        </w:rPr>
      </w:pPr>
      <w:r>
        <w:rPr>
          <w:rFonts w:hint="eastAsia" w:ascii="楷体" w:hAnsi="楷体" w:eastAsia="楷体" w:cs="Times New Roman"/>
          <w:b/>
          <w:bCs/>
          <w:color w:val="auto"/>
          <w:sz w:val="24"/>
          <w:szCs w:val="24"/>
        </w:rPr>
        <w:t>一、委托事项</w:t>
      </w:r>
    </w:p>
    <w:p w14:paraId="430DD5B7">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（一）服务内容</w:t>
      </w:r>
    </w:p>
    <w:p w14:paraId="777EC197">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服务主要内容包括：</w:t>
      </w:r>
    </w:p>
    <w:p w14:paraId="09AF2EFD">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1.提供纳税申报代理服务。中介机构向企业提供涉及的增值税、附加税、企业所得税和个人所得税等税种的纳税申报代理服务。</w:t>
      </w:r>
    </w:p>
    <w:p w14:paraId="27258C43">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2.财税咨询服务。企业可享受税收优惠政策分析；财税法规和政策解读；财税业务问题答疑；财税实务操作指导；个人所得税年度汇算清缴、企业所得税年度汇算清缴、企业重组等特殊业务的财税咨询以及合规筹划；财税风险分析、评估，提供处理建议等。</w:t>
      </w:r>
    </w:p>
    <w:p w14:paraId="35462FBB">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（二）服务期限</w:t>
      </w:r>
    </w:p>
    <w:p w14:paraId="11404E43">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1.本约定书约定的财税咨询服务期限自签订之日开始，为期1年；</w:t>
      </w:r>
    </w:p>
    <w:p w14:paraId="28C25291">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2.本约定书到期前一个月，双方可协商约定是否继续签订。</w:t>
      </w:r>
    </w:p>
    <w:p w14:paraId="20C8CFCC">
      <w:pPr>
        <w:pStyle w:val="40"/>
        <w:ind w:firstLine="482"/>
        <w:rPr>
          <w:rFonts w:hint="eastAsia" w:ascii="楷体" w:hAnsi="楷体" w:eastAsia="楷体" w:cs="Times New Roman"/>
          <w:color w:val="auto"/>
          <w:sz w:val="24"/>
          <w:szCs w:val="24"/>
        </w:rPr>
      </w:pPr>
      <w:r>
        <w:rPr>
          <w:rFonts w:hint="eastAsia" w:ascii="楷体" w:hAnsi="楷体" w:eastAsia="楷体" w:cs="Times New Roman"/>
          <w:b/>
          <w:bCs/>
          <w:color w:val="auto"/>
          <w:sz w:val="24"/>
          <w:szCs w:val="24"/>
        </w:rPr>
        <w:t>二、费用及支付方式</w:t>
      </w:r>
    </w:p>
    <w:p w14:paraId="13DE0FE6">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（一）服务费用</w:t>
      </w:r>
    </w:p>
    <w:p w14:paraId="616CDCB9">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木次服务费用总额为含税包干价           元（大写：            ）。</w:t>
      </w:r>
    </w:p>
    <w:p w14:paraId="79EFCC80">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（二）支付方式</w:t>
      </w:r>
    </w:p>
    <w:p w14:paraId="2E0BA98B">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上述服务费用在本约定书签订后【】个工作日内由甲方支付乙方        元，余款       元在本约定书签订【】个月后【】个工作日内由甲方一次性支付。</w:t>
      </w:r>
    </w:p>
    <w:p w14:paraId="7A63216C">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（三）乙方收款账户信息</w:t>
      </w:r>
    </w:p>
    <w:p w14:paraId="406642C5">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乙方指定以下账户为收款账户：</w:t>
      </w:r>
    </w:p>
    <w:p w14:paraId="4AC04AA5">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户 名：</w:t>
      </w:r>
    </w:p>
    <w:p w14:paraId="02713D0D">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开户行：</w:t>
      </w:r>
    </w:p>
    <w:p w14:paraId="5E00C12E">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账 号:</w:t>
      </w:r>
    </w:p>
    <w:p w14:paraId="67617030">
      <w:pPr>
        <w:pStyle w:val="40"/>
        <w:ind w:firstLine="482"/>
        <w:rPr>
          <w:rFonts w:hint="eastAsia" w:ascii="楷体" w:hAnsi="楷体" w:eastAsia="楷体" w:cs="Times New Roman"/>
          <w:color w:val="auto"/>
          <w:sz w:val="24"/>
          <w:szCs w:val="24"/>
        </w:rPr>
      </w:pPr>
      <w:r>
        <w:rPr>
          <w:rFonts w:hint="eastAsia" w:ascii="楷体" w:hAnsi="楷体" w:eastAsia="楷体" w:cs="Times New Roman"/>
          <w:b/>
          <w:bCs/>
          <w:color w:val="auto"/>
          <w:sz w:val="24"/>
          <w:szCs w:val="24"/>
        </w:rPr>
        <w:t>三、甲方的责任与义务</w:t>
      </w:r>
    </w:p>
    <w:p w14:paraId="7A9FDDA2">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（一）真实、完整、及时地向乙方提供财税资料，保证资料合法性。</w:t>
      </w:r>
    </w:p>
    <w:p w14:paraId="0C9186F7">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（二）指定专门联系人配合乙方工作，为乙方提供必要的工作条件。</w:t>
      </w:r>
    </w:p>
    <w:p w14:paraId="065A9B7E">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（三）按约定及时足额支付服务费用。</w:t>
      </w:r>
    </w:p>
    <w:p w14:paraId="467C0C18">
      <w:pPr>
        <w:pStyle w:val="40"/>
        <w:ind w:firstLine="482"/>
        <w:rPr>
          <w:rFonts w:hint="eastAsia" w:ascii="楷体" w:hAnsi="楷体" w:eastAsia="楷体" w:cs="Times New Roman"/>
          <w:b/>
          <w:bCs/>
          <w:color w:val="auto"/>
          <w:sz w:val="24"/>
          <w:szCs w:val="24"/>
        </w:rPr>
      </w:pPr>
      <w:r>
        <w:rPr>
          <w:rFonts w:hint="eastAsia" w:ascii="楷体" w:hAnsi="楷体" w:eastAsia="楷体" w:cs="Times New Roman"/>
          <w:b/>
          <w:bCs/>
          <w:color w:val="auto"/>
          <w:sz w:val="24"/>
          <w:szCs w:val="24"/>
        </w:rPr>
        <w:t>四、乙方的责任和义务</w:t>
      </w:r>
    </w:p>
    <w:p w14:paraId="710D4C23">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（一）按约定标准和时限提供服务，对服务成果的真实性、合法性负责。</w:t>
      </w:r>
    </w:p>
    <w:p w14:paraId="15656BA2">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（二）对知悉的甲方商业秘密、财务信息严格保密，不得泄露或用于本合同以外的目的。保密义务不因合同终止而解除。</w:t>
      </w:r>
    </w:p>
    <w:p w14:paraId="327F593C">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（三）不得将本合同项下服务转包或分包给第三方。</w:t>
      </w:r>
    </w:p>
    <w:p w14:paraId="032514B3">
      <w:pPr>
        <w:pStyle w:val="40"/>
        <w:ind w:firstLine="482"/>
        <w:rPr>
          <w:rFonts w:hint="eastAsia" w:ascii="楷体" w:hAnsi="楷体" w:eastAsia="楷体" w:cs="Times New Roman"/>
          <w:color w:val="auto"/>
          <w:sz w:val="24"/>
          <w:szCs w:val="24"/>
        </w:rPr>
      </w:pPr>
      <w:r>
        <w:rPr>
          <w:rFonts w:hint="eastAsia" w:ascii="楷体" w:hAnsi="楷体" w:eastAsia="楷体" w:cs="Times New Roman"/>
          <w:b/>
          <w:bCs/>
          <w:color w:val="auto"/>
          <w:sz w:val="24"/>
          <w:szCs w:val="24"/>
        </w:rPr>
        <w:t>五、违约责任</w:t>
      </w:r>
    </w:p>
    <w:p w14:paraId="5C1D7FB0">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（一）甲方应按照本约定书约定，支付委托事项的相关费用，逾期支付的，每逾期一日，应承担本约定书约定金额【】％的违约金。</w:t>
      </w:r>
    </w:p>
    <w:p w14:paraId="00F8A662">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（二）若乙方服务不能满足甲方需要，甲方有权单方解除本约定书，并不再承担本约定书未履行部分的费用。</w:t>
      </w:r>
    </w:p>
    <w:p w14:paraId="37DE40E1">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（三）若乙方违反保密义务给甲方造成损失，乙方应按本约定书费用总额的【】向甲方支付违约金；若因此给甲方造成损失的，甲方有权向乙方足额追偿。</w:t>
      </w:r>
    </w:p>
    <w:p w14:paraId="5AAD79F2">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（四）一方违约导致另一方与其产生争议的，违约方应该承担另一方维权所产生的全部费用，包括但不限于律师费、诉讼费、保全担保函费、公证费、鉴定费等。</w:t>
      </w:r>
    </w:p>
    <w:p w14:paraId="78FD9496">
      <w:pPr>
        <w:pStyle w:val="40"/>
        <w:ind w:firstLine="482"/>
        <w:rPr>
          <w:rFonts w:hint="eastAsia" w:ascii="楷体" w:hAnsi="楷体" w:eastAsia="楷体" w:cs="Times New Roman"/>
          <w:color w:val="auto"/>
          <w:sz w:val="24"/>
          <w:szCs w:val="24"/>
        </w:rPr>
      </w:pPr>
      <w:r>
        <w:rPr>
          <w:rFonts w:hint="eastAsia" w:ascii="楷体" w:hAnsi="楷体" w:eastAsia="楷体" w:cs="Times New Roman"/>
          <w:b/>
          <w:bCs/>
          <w:color w:val="auto"/>
          <w:sz w:val="24"/>
          <w:szCs w:val="24"/>
        </w:rPr>
        <w:t>六、适用法律和争议解决</w:t>
      </w:r>
    </w:p>
    <w:p w14:paraId="061C4990">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若本约定书履行产生纠纷，双方应友好协商，若协商无法达成一致，任何一方有权向甲方住所地人民法院提起诉讼。</w:t>
      </w:r>
    </w:p>
    <w:p w14:paraId="71B40707">
      <w:pPr>
        <w:pStyle w:val="40"/>
        <w:rPr>
          <w:rFonts w:hint="eastAsia" w:ascii="楷体" w:hAnsi="楷体" w:eastAsia="楷体" w:cs="Times New Roman"/>
          <w:color w:val="auto"/>
          <w:sz w:val="24"/>
          <w:szCs w:val="24"/>
        </w:rPr>
      </w:pPr>
      <w:r>
        <w:rPr>
          <w:rFonts w:hint="eastAsia" w:ascii="楷体" w:hAnsi="楷体" w:eastAsia="楷体" w:cs="Times New Roman"/>
          <w:color w:val="auto"/>
          <w:sz w:val="24"/>
          <w:szCs w:val="24"/>
        </w:rPr>
        <w:t>以下无正文</w:t>
      </w:r>
    </w:p>
    <w:p w14:paraId="110019FE">
      <w:pPr>
        <w:pStyle w:val="40"/>
        <w:rPr>
          <w:rFonts w:hint="eastAsia" w:ascii="楷体" w:hAnsi="楷体" w:eastAsia="楷体" w:cs="Times New Roman"/>
          <w:color w:val="auto"/>
          <w:sz w:val="24"/>
          <w:szCs w:val="24"/>
        </w:rPr>
      </w:pPr>
    </w:p>
    <w:p w14:paraId="67CE2E39">
      <w:pPr>
        <w:pStyle w:val="40"/>
        <w:rPr>
          <w:rFonts w:hint="eastAsia" w:ascii="楷体" w:hAnsi="楷体" w:eastAsia="楷体" w:cs="Times New Roman"/>
          <w:color w:val="auto"/>
          <w:sz w:val="24"/>
          <w:szCs w:val="24"/>
        </w:rPr>
      </w:pPr>
    </w:p>
    <w:p w14:paraId="336BBC60">
      <w:pPr>
        <w:pStyle w:val="40"/>
        <w:rPr>
          <w:rFonts w:hint="eastAsia" w:ascii="楷体" w:hAnsi="楷体" w:eastAsia="楷体" w:cs="Times New Roman"/>
          <w:color w:val="auto"/>
          <w:sz w:val="24"/>
          <w:szCs w:val="24"/>
        </w:rPr>
      </w:pPr>
    </w:p>
    <w:p w14:paraId="1EA94734">
      <w:pPr>
        <w:pStyle w:val="40"/>
        <w:rPr>
          <w:rFonts w:hint="eastAsia" w:ascii="楷体" w:hAnsi="楷体" w:eastAsia="楷体" w:cs="Times New Roman"/>
          <w:color w:val="auto"/>
          <w:sz w:val="24"/>
          <w:szCs w:val="24"/>
        </w:rPr>
      </w:pPr>
    </w:p>
    <w:p w14:paraId="60CFF59F">
      <w:pPr>
        <w:pStyle w:val="40"/>
        <w:rPr>
          <w:rFonts w:hint="eastAsia" w:ascii="楷体" w:hAnsi="楷体" w:eastAsia="楷体" w:cs="Times New Roman"/>
          <w:color w:val="auto"/>
          <w:sz w:val="24"/>
          <w:szCs w:val="24"/>
        </w:rPr>
      </w:pPr>
    </w:p>
    <w:p w14:paraId="208ED958">
      <w:pPr>
        <w:pStyle w:val="40"/>
        <w:ind w:firstLine="0" w:firstLineChars="0"/>
        <w:rPr>
          <w:rFonts w:hint="eastAsia" w:ascii="楷体" w:hAnsi="楷体" w:eastAsia="楷体" w:cs="Times New Roman"/>
          <w:color w:val="auto"/>
          <w:sz w:val="24"/>
          <w:szCs w:val="24"/>
        </w:rPr>
      </w:pPr>
    </w:p>
    <w:p w14:paraId="1E6C187D">
      <w:pPr>
        <w:pStyle w:val="40"/>
        <w:ind w:firstLine="0" w:firstLineChars="0"/>
        <w:rPr>
          <w:rFonts w:hint="eastAsia" w:ascii="楷体" w:hAnsi="楷体" w:eastAsia="楷体" w:cs="Times New Roman"/>
          <w:color w:val="auto"/>
          <w:sz w:val="24"/>
          <w:szCs w:val="24"/>
        </w:rPr>
      </w:pPr>
      <w:r>
        <w:rPr>
          <w:rFonts w:hint="eastAsia" w:ascii="楷体" w:hAnsi="楷体" w:eastAsia="楷体" w:cs="Times New Roman"/>
          <w:color w:val="auto"/>
          <w:sz w:val="24"/>
          <w:szCs w:val="24"/>
        </w:rPr>
        <w:t>本页无正文，为签章页。</w:t>
      </w:r>
    </w:p>
    <w:p w14:paraId="30AFEC03">
      <w:pPr>
        <w:pStyle w:val="40"/>
        <w:ind w:firstLine="0" w:firstLineChars="0"/>
        <w:rPr>
          <w:rFonts w:hint="eastAsia" w:ascii="楷体" w:hAnsi="楷体" w:eastAsia="楷体" w:cs="Times New Roman"/>
          <w:color w:val="auto"/>
          <w:sz w:val="24"/>
          <w:szCs w:val="24"/>
        </w:rPr>
      </w:pPr>
    </w:p>
    <w:p w14:paraId="329F9BE2">
      <w:pPr>
        <w:pStyle w:val="40"/>
        <w:ind w:firstLine="0" w:firstLineChars="0"/>
        <w:rPr>
          <w:rFonts w:hint="eastAsia" w:ascii="楷体" w:hAnsi="楷体" w:eastAsia="楷体" w:cs="Times New Roman"/>
          <w:color w:val="auto"/>
          <w:sz w:val="24"/>
          <w:szCs w:val="24"/>
        </w:rPr>
      </w:pPr>
      <w:r>
        <w:rPr>
          <w:rFonts w:hint="eastAsia" w:ascii="楷体" w:hAnsi="楷体" w:eastAsia="楷体" w:cs="Times New Roman"/>
          <w:color w:val="auto"/>
          <w:sz w:val="24"/>
          <w:szCs w:val="24"/>
        </w:rPr>
        <w:t>甲方：                                           乙方：</w:t>
      </w:r>
    </w:p>
    <w:p w14:paraId="33891A09">
      <w:pPr>
        <w:pStyle w:val="40"/>
        <w:ind w:firstLine="0" w:firstLineChars="0"/>
        <w:rPr>
          <w:rFonts w:hint="eastAsia" w:ascii="楷体" w:hAnsi="楷体" w:eastAsia="楷体" w:cs="Times New Roman"/>
          <w:color w:val="auto"/>
          <w:sz w:val="24"/>
          <w:szCs w:val="24"/>
        </w:rPr>
      </w:pPr>
    </w:p>
    <w:p w14:paraId="191C83DC">
      <w:pPr>
        <w:pStyle w:val="40"/>
        <w:ind w:firstLine="0" w:firstLineChars="0"/>
        <w:rPr>
          <w:rFonts w:hint="eastAsia" w:ascii="楷体" w:hAnsi="楷体" w:eastAsia="楷体" w:cs="Times New Roman"/>
          <w:color w:val="auto"/>
          <w:sz w:val="24"/>
          <w:szCs w:val="24"/>
        </w:rPr>
      </w:pPr>
      <w:r>
        <w:rPr>
          <w:rFonts w:hint="eastAsia" w:ascii="楷体" w:hAnsi="楷体" w:eastAsia="楷体" w:cs="Times New Roman"/>
          <w:color w:val="auto"/>
          <w:sz w:val="24"/>
          <w:szCs w:val="24"/>
        </w:rPr>
        <w:t>法定代表人（或授权代表）:                        法定代表人（或授权代表）:</w:t>
      </w:r>
    </w:p>
    <w:p w14:paraId="39D30075">
      <w:pPr>
        <w:pStyle w:val="40"/>
        <w:ind w:firstLine="0" w:firstLineChars="0"/>
        <w:rPr>
          <w:rFonts w:hint="eastAsia" w:ascii="楷体" w:hAnsi="楷体" w:eastAsia="楷体" w:cs="Times New Roman"/>
          <w:color w:val="auto"/>
          <w:sz w:val="24"/>
          <w:szCs w:val="24"/>
        </w:rPr>
      </w:pPr>
    </w:p>
    <w:p w14:paraId="55E69CD8">
      <w:pPr>
        <w:pStyle w:val="40"/>
        <w:ind w:firstLine="0" w:firstLineChars="0"/>
        <w:rPr>
          <w:rFonts w:hint="eastAsia" w:ascii="楷体" w:hAnsi="楷体" w:eastAsia="楷体" w:cs="Times New Roman"/>
          <w:color w:val="auto"/>
          <w:sz w:val="24"/>
          <w:szCs w:val="24"/>
        </w:rPr>
      </w:pPr>
    </w:p>
    <w:p w14:paraId="348FE24B">
      <w:pPr>
        <w:pStyle w:val="40"/>
        <w:ind w:firstLine="0" w:firstLineChars="0"/>
        <w:rPr>
          <w:rFonts w:hint="eastAsia" w:ascii="楷体" w:hAnsi="楷体" w:eastAsia="楷体" w:cs="Times New Roman"/>
          <w:color w:val="auto"/>
          <w:sz w:val="24"/>
          <w:szCs w:val="24"/>
        </w:rPr>
      </w:pPr>
    </w:p>
    <w:p w14:paraId="7AC099B9">
      <w:pPr>
        <w:pStyle w:val="40"/>
        <w:ind w:firstLine="0" w:firstLineChars="0"/>
        <w:rPr>
          <w:rFonts w:hint="eastAsia" w:ascii="楷体" w:hAnsi="楷体" w:eastAsia="楷体" w:cs="Times New Roman"/>
          <w:color w:val="auto"/>
          <w:sz w:val="24"/>
          <w:szCs w:val="24"/>
        </w:rPr>
      </w:pPr>
      <w:r>
        <w:rPr>
          <w:rFonts w:ascii="楷体" w:hAnsi="楷体" w:eastAsia="楷体" w:cs="Times New Roman"/>
          <w:color w:val="auto"/>
          <w:sz w:val="24"/>
          <w:szCs w:val="24"/>
        </w:rPr>
        <w:t>签约日期：</w:t>
      </w:r>
    </w:p>
    <w:p w14:paraId="0FE10448">
      <w:pPr>
        <w:pStyle w:val="40"/>
        <w:ind w:firstLine="0" w:firstLineChars="0"/>
        <w:rPr>
          <w:rFonts w:hint="eastAsia" w:ascii="楷体" w:hAnsi="楷体" w:eastAsia="楷体" w:cs="Times New Roman"/>
          <w:color w:val="auto"/>
          <w:sz w:val="24"/>
          <w:szCs w:val="24"/>
        </w:rPr>
      </w:pPr>
    </w:p>
    <w:p w14:paraId="5603E819">
      <w:pPr>
        <w:pStyle w:val="40"/>
        <w:ind w:firstLine="0" w:firstLineChars="0"/>
        <w:rPr>
          <w:rFonts w:hint="eastAsia" w:ascii="楷体" w:hAnsi="楷体" w:eastAsia="楷体" w:cs="Times New Roman"/>
          <w:color w:val="auto"/>
          <w:sz w:val="24"/>
          <w:szCs w:val="24"/>
        </w:rPr>
      </w:pPr>
    </w:p>
    <w:p w14:paraId="123D79B1">
      <w:pPr>
        <w:pStyle w:val="3"/>
        <w:spacing w:before="156" w:after="156" w:line="360" w:lineRule="auto"/>
        <w:jc w:val="both"/>
        <w:rPr>
          <w:rFonts w:hint="eastAsia" w:ascii="方正仿宋_GBK" w:hAnsi="方正仿宋_GBK" w:eastAsia="方正仿宋_GBK" w:cs="方正仿宋_GBK"/>
          <w:b w:val="0"/>
          <w:szCs w:val="32"/>
        </w:rPr>
      </w:pPr>
      <w:r>
        <w:rPr>
          <w:rFonts w:hint="eastAsia" w:ascii="方正仿宋_GBK" w:hAnsi="方正仿宋_GBK" w:eastAsia="方正仿宋_GBK" w:cs="方正仿宋_GBK"/>
          <w:sz w:val="24"/>
          <w:szCs w:val="24"/>
        </w:rPr>
        <w:t>（具体以甲乙双方协商签订的正式合同为准。）</w:t>
      </w:r>
    </w:p>
    <w:p w14:paraId="1757E62F">
      <w:pPr>
        <w:pStyle w:val="40"/>
        <w:ind w:firstLine="0" w:firstLineChars="0"/>
        <w:rPr>
          <w:rFonts w:hint="eastAsia" w:ascii="楷体" w:hAnsi="楷体" w:eastAsia="楷体" w:cs="Times New Roman"/>
          <w:color w:val="auto"/>
          <w:sz w:val="24"/>
          <w:szCs w:val="24"/>
        </w:rPr>
      </w:pPr>
    </w:p>
    <w:p w14:paraId="5CF8531C">
      <w:pPr>
        <w:pStyle w:val="40"/>
        <w:ind w:firstLine="0" w:firstLineChars="0"/>
        <w:rPr>
          <w:rFonts w:hint="eastAsia" w:ascii="楷体" w:hAnsi="楷体" w:eastAsia="楷体" w:cs="Times New Roman"/>
          <w:color w:val="auto"/>
          <w:sz w:val="24"/>
          <w:szCs w:val="24"/>
        </w:rPr>
      </w:pPr>
    </w:p>
    <w:sectPr>
      <w:headerReference r:id="rId7" w:type="default"/>
      <w:footerReference r:id="rId8" w:type="default"/>
      <w:pgSz w:w="11906" w:h="16838"/>
      <w:pgMar w:top="1440" w:right="991" w:bottom="1440"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68BB290-4FF1-4A49-8F71-8978434907CA}"/>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2" w:fontKey="{273C49A0-589E-4895-B6BD-2C73C5255C43}"/>
  </w:font>
  <w:font w:name="Helvetica">
    <w:altName w:val="Arial"/>
    <w:panose1 w:val="020B0604020202020204"/>
    <w:charset w:val="00"/>
    <w:family w:val="swiss"/>
    <w:pitch w:val="default"/>
    <w:sig w:usb0="00000000" w:usb1="00000000" w:usb2="00000009" w:usb3="00000000" w:csb0="000001FF" w:csb1="00000000"/>
    <w:embedRegular r:id="rId3" w:fontKey="{6F8FFDC2-3813-4ED3-9F46-5240D8B1EA8E}"/>
  </w:font>
  <w:font w:name="MingLiU">
    <w:altName w:val="PMingLiU-ExtB"/>
    <w:panose1 w:val="02010609000101010101"/>
    <w:charset w:val="88"/>
    <w:family w:val="modern"/>
    <w:pitch w:val="default"/>
    <w:sig w:usb0="00000000" w:usb1="00000000" w:usb2="00000016" w:usb3="00000000" w:csb0="00100001" w:csb1="00000000"/>
    <w:embedRegular r:id="rId4" w:fontKey="{CFE0C54C-49C1-4F1B-8C6F-F9732987970F}"/>
  </w:font>
  <w:font w:name="P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embedRegular r:id="rId5" w:fontKey="{EB899539-78C1-4165-B8DC-6AFFD587D0DF}"/>
  </w:font>
  <w:font w:name="楷体">
    <w:panose1 w:val="02010609060101010101"/>
    <w:charset w:val="86"/>
    <w:family w:val="modern"/>
    <w:pitch w:val="default"/>
    <w:sig w:usb0="800002BF" w:usb1="38CF7CFA" w:usb2="00000016" w:usb3="00000000" w:csb0="00040001" w:csb1="00000000"/>
    <w:embedRegular r:id="rId6" w:fontKey="{3CAB501F-FAB1-4AB0-B843-0A6CAC4DAF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BBF02">
    <w:pPr>
      <w:pStyle w:val="12"/>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65D0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DC37">
    <w:pPr>
      <w:pStyle w:val="12"/>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35665">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6635665">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E06B1">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B907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79B907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0D81B">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C80DE">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F1C80DE">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E267">
    <w:pPr>
      <w:pStyle w:val="13"/>
      <w:pBdr>
        <w:bottom w:val="none" w:color="auto" w:sz="0" w:space="0"/>
      </w:pBdr>
      <w:jc w:val="both"/>
      <w:rPr>
        <w:rFonts w:ascii="方正仿宋_GBK" w:eastAsia="方正仿宋_GBK" w:cs="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9E1D9"/>
    <w:multiLevelType w:val="singleLevel"/>
    <w:tmpl w:val="02F9E1D9"/>
    <w:lvl w:ilvl="0" w:tentative="0">
      <w:start w:val="1"/>
      <w:numFmt w:val="chineseCounting"/>
      <w:suff w:val="nothing"/>
      <w:lvlText w:val="（%1）"/>
      <w:lvlJc w:val="left"/>
      <w:rPr>
        <w:rFonts w:hint="eastAsia"/>
      </w:rPr>
    </w:lvl>
  </w:abstractNum>
  <w:abstractNum w:abstractNumId="1">
    <w:nsid w:val="334B2943"/>
    <w:multiLevelType w:val="singleLevel"/>
    <w:tmpl w:val="334B294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wZjYyMTYyZjVkYTVkM2VhNmE5MWNjMDE3MTA1NjEifQ=="/>
  </w:docVars>
  <w:rsids>
    <w:rsidRoot w:val="71100B0B"/>
    <w:rsid w:val="000278FE"/>
    <w:rsid w:val="000A5B2E"/>
    <w:rsid w:val="000F74D1"/>
    <w:rsid w:val="00144170"/>
    <w:rsid w:val="0015710A"/>
    <w:rsid w:val="001865DF"/>
    <w:rsid w:val="001A14BA"/>
    <w:rsid w:val="001E39D2"/>
    <w:rsid w:val="00205663"/>
    <w:rsid w:val="0022167C"/>
    <w:rsid w:val="0024448E"/>
    <w:rsid w:val="00277A9A"/>
    <w:rsid w:val="002A29A2"/>
    <w:rsid w:val="002D4D14"/>
    <w:rsid w:val="002D601E"/>
    <w:rsid w:val="002E4427"/>
    <w:rsid w:val="002F665E"/>
    <w:rsid w:val="002F7E88"/>
    <w:rsid w:val="0032152B"/>
    <w:rsid w:val="00326BF0"/>
    <w:rsid w:val="0034286D"/>
    <w:rsid w:val="00355BF5"/>
    <w:rsid w:val="00362505"/>
    <w:rsid w:val="003660E8"/>
    <w:rsid w:val="00372A4B"/>
    <w:rsid w:val="0038047A"/>
    <w:rsid w:val="00383644"/>
    <w:rsid w:val="003A40DA"/>
    <w:rsid w:val="00417B71"/>
    <w:rsid w:val="004340BF"/>
    <w:rsid w:val="00437DEF"/>
    <w:rsid w:val="004A3180"/>
    <w:rsid w:val="004B2CE7"/>
    <w:rsid w:val="004E6295"/>
    <w:rsid w:val="004F0CC1"/>
    <w:rsid w:val="004F4A22"/>
    <w:rsid w:val="00502272"/>
    <w:rsid w:val="00515DFE"/>
    <w:rsid w:val="005805CF"/>
    <w:rsid w:val="00586DB8"/>
    <w:rsid w:val="00595CD2"/>
    <w:rsid w:val="005B2572"/>
    <w:rsid w:val="005B5868"/>
    <w:rsid w:val="005C08DC"/>
    <w:rsid w:val="005C3F9B"/>
    <w:rsid w:val="005E7DDC"/>
    <w:rsid w:val="00610AA4"/>
    <w:rsid w:val="00610B95"/>
    <w:rsid w:val="006211AE"/>
    <w:rsid w:val="00684655"/>
    <w:rsid w:val="006A1747"/>
    <w:rsid w:val="006B4D01"/>
    <w:rsid w:val="006B4DA4"/>
    <w:rsid w:val="006C48F4"/>
    <w:rsid w:val="006E4221"/>
    <w:rsid w:val="00744E93"/>
    <w:rsid w:val="007457C0"/>
    <w:rsid w:val="00756177"/>
    <w:rsid w:val="007575D7"/>
    <w:rsid w:val="00786B63"/>
    <w:rsid w:val="0079315C"/>
    <w:rsid w:val="007A52CD"/>
    <w:rsid w:val="007C7D60"/>
    <w:rsid w:val="00806F2C"/>
    <w:rsid w:val="008373AA"/>
    <w:rsid w:val="00870524"/>
    <w:rsid w:val="00870FDD"/>
    <w:rsid w:val="00884C2D"/>
    <w:rsid w:val="0088617E"/>
    <w:rsid w:val="008E5940"/>
    <w:rsid w:val="00912644"/>
    <w:rsid w:val="009163D7"/>
    <w:rsid w:val="00924422"/>
    <w:rsid w:val="009424AE"/>
    <w:rsid w:val="00982F5F"/>
    <w:rsid w:val="009B40AA"/>
    <w:rsid w:val="009B4E19"/>
    <w:rsid w:val="009E0EE3"/>
    <w:rsid w:val="009E63E4"/>
    <w:rsid w:val="009F0B74"/>
    <w:rsid w:val="009F6FBC"/>
    <w:rsid w:val="00A0775A"/>
    <w:rsid w:val="00A24B53"/>
    <w:rsid w:val="00A25302"/>
    <w:rsid w:val="00A3206D"/>
    <w:rsid w:val="00A43430"/>
    <w:rsid w:val="00A4636D"/>
    <w:rsid w:val="00A70C59"/>
    <w:rsid w:val="00A74B58"/>
    <w:rsid w:val="00A959C6"/>
    <w:rsid w:val="00AC7934"/>
    <w:rsid w:val="00B11D9F"/>
    <w:rsid w:val="00B21DB0"/>
    <w:rsid w:val="00B25EF3"/>
    <w:rsid w:val="00B57DDF"/>
    <w:rsid w:val="00B7044B"/>
    <w:rsid w:val="00B8291B"/>
    <w:rsid w:val="00B870DA"/>
    <w:rsid w:val="00BB04AB"/>
    <w:rsid w:val="00BE5C0F"/>
    <w:rsid w:val="00BF2936"/>
    <w:rsid w:val="00C15749"/>
    <w:rsid w:val="00C443E3"/>
    <w:rsid w:val="00C53778"/>
    <w:rsid w:val="00C6445D"/>
    <w:rsid w:val="00C738B4"/>
    <w:rsid w:val="00CB3633"/>
    <w:rsid w:val="00CC5EAA"/>
    <w:rsid w:val="00CD1EC6"/>
    <w:rsid w:val="00CE0525"/>
    <w:rsid w:val="00CE2881"/>
    <w:rsid w:val="00D46356"/>
    <w:rsid w:val="00D63158"/>
    <w:rsid w:val="00D70E88"/>
    <w:rsid w:val="00D7765B"/>
    <w:rsid w:val="00D81D9D"/>
    <w:rsid w:val="00D86F8C"/>
    <w:rsid w:val="00D9155D"/>
    <w:rsid w:val="00DB2AC0"/>
    <w:rsid w:val="00DC1E92"/>
    <w:rsid w:val="00DD5647"/>
    <w:rsid w:val="00E11F15"/>
    <w:rsid w:val="00E3185C"/>
    <w:rsid w:val="00E350EC"/>
    <w:rsid w:val="00E8329D"/>
    <w:rsid w:val="00ED1B34"/>
    <w:rsid w:val="00ED744B"/>
    <w:rsid w:val="00EF344C"/>
    <w:rsid w:val="00F02930"/>
    <w:rsid w:val="00F04DEC"/>
    <w:rsid w:val="00F642B1"/>
    <w:rsid w:val="00F857FC"/>
    <w:rsid w:val="00F86536"/>
    <w:rsid w:val="00FC168D"/>
    <w:rsid w:val="00FC4AFD"/>
    <w:rsid w:val="012A6F94"/>
    <w:rsid w:val="01A00C4B"/>
    <w:rsid w:val="01AC32DB"/>
    <w:rsid w:val="022E1921"/>
    <w:rsid w:val="026B130E"/>
    <w:rsid w:val="02EE4FCD"/>
    <w:rsid w:val="03FC378E"/>
    <w:rsid w:val="046406BD"/>
    <w:rsid w:val="04EE36C6"/>
    <w:rsid w:val="050E7090"/>
    <w:rsid w:val="058922E0"/>
    <w:rsid w:val="05F666BA"/>
    <w:rsid w:val="06044695"/>
    <w:rsid w:val="06164201"/>
    <w:rsid w:val="06C12B60"/>
    <w:rsid w:val="07037366"/>
    <w:rsid w:val="07785760"/>
    <w:rsid w:val="07B86A38"/>
    <w:rsid w:val="08260881"/>
    <w:rsid w:val="088210E3"/>
    <w:rsid w:val="089C35E6"/>
    <w:rsid w:val="08F369F7"/>
    <w:rsid w:val="0906593B"/>
    <w:rsid w:val="094A0C63"/>
    <w:rsid w:val="09561AEF"/>
    <w:rsid w:val="09B214F2"/>
    <w:rsid w:val="09B75260"/>
    <w:rsid w:val="09F568AC"/>
    <w:rsid w:val="0A567C82"/>
    <w:rsid w:val="0A5A4C96"/>
    <w:rsid w:val="0A7F062C"/>
    <w:rsid w:val="0ACC55E1"/>
    <w:rsid w:val="0B9C66B3"/>
    <w:rsid w:val="0C1F79B0"/>
    <w:rsid w:val="0C4E0E06"/>
    <w:rsid w:val="0CC63FC0"/>
    <w:rsid w:val="0D661447"/>
    <w:rsid w:val="0DA846A1"/>
    <w:rsid w:val="0E2E6302"/>
    <w:rsid w:val="0EC06717"/>
    <w:rsid w:val="0EDB19CC"/>
    <w:rsid w:val="0F17011A"/>
    <w:rsid w:val="102D5E8E"/>
    <w:rsid w:val="104B066F"/>
    <w:rsid w:val="10B36102"/>
    <w:rsid w:val="10B64DF6"/>
    <w:rsid w:val="11125D02"/>
    <w:rsid w:val="11A5302E"/>
    <w:rsid w:val="11D67267"/>
    <w:rsid w:val="11E825EC"/>
    <w:rsid w:val="1207443F"/>
    <w:rsid w:val="12144FC0"/>
    <w:rsid w:val="121D322F"/>
    <w:rsid w:val="1279195B"/>
    <w:rsid w:val="13C82424"/>
    <w:rsid w:val="14D13A7C"/>
    <w:rsid w:val="14DF03FA"/>
    <w:rsid w:val="1506135C"/>
    <w:rsid w:val="15770141"/>
    <w:rsid w:val="159A4FC7"/>
    <w:rsid w:val="16D71EDB"/>
    <w:rsid w:val="17C6418D"/>
    <w:rsid w:val="17DC5749"/>
    <w:rsid w:val="17E466CC"/>
    <w:rsid w:val="182D493B"/>
    <w:rsid w:val="184C396E"/>
    <w:rsid w:val="189162CC"/>
    <w:rsid w:val="195E0DB1"/>
    <w:rsid w:val="197D7F3C"/>
    <w:rsid w:val="1A7B1F72"/>
    <w:rsid w:val="1A851B3E"/>
    <w:rsid w:val="1ABF31AA"/>
    <w:rsid w:val="1AD5150D"/>
    <w:rsid w:val="1B251FF4"/>
    <w:rsid w:val="1B803130"/>
    <w:rsid w:val="1C1158C6"/>
    <w:rsid w:val="1C534DE0"/>
    <w:rsid w:val="1D282F27"/>
    <w:rsid w:val="1D4F454C"/>
    <w:rsid w:val="1DE71BE5"/>
    <w:rsid w:val="1DEC548C"/>
    <w:rsid w:val="1DED36A7"/>
    <w:rsid w:val="1E033C5B"/>
    <w:rsid w:val="1E0D045D"/>
    <w:rsid w:val="1E8169EE"/>
    <w:rsid w:val="1E884DA9"/>
    <w:rsid w:val="1EC76CE7"/>
    <w:rsid w:val="1F376176"/>
    <w:rsid w:val="1FBC30AE"/>
    <w:rsid w:val="200D7D2F"/>
    <w:rsid w:val="21A54692"/>
    <w:rsid w:val="21C621F0"/>
    <w:rsid w:val="22070665"/>
    <w:rsid w:val="22920B2A"/>
    <w:rsid w:val="229A4EE6"/>
    <w:rsid w:val="22A3088F"/>
    <w:rsid w:val="22AD4841"/>
    <w:rsid w:val="22B44A85"/>
    <w:rsid w:val="22EB6579"/>
    <w:rsid w:val="22F010E9"/>
    <w:rsid w:val="235D59FC"/>
    <w:rsid w:val="237A72E9"/>
    <w:rsid w:val="23957254"/>
    <w:rsid w:val="23DE4815"/>
    <w:rsid w:val="23F02EE8"/>
    <w:rsid w:val="24055A18"/>
    <w:rsid w:val="245414F9"/>
    <w:rsid w:val="25484AD6"/>
    <w:rsid w:val="25A17702"/>
    <w:rsid w:val="25A634D3"/>
    <w:rsid w:val="25B4719C"/>
    <w:rsid w:val="26343165"/>
    <w:rsid w:val="27324C01"/>
    <w:rsid w:val="27373A5E"/>
    <w:rsid w:val="27571C1E"/>
    <w:rsid w:val="27A03607"/>
    <w:rsid w:val="27D054B0"/>
    <w:rsid w:val="280B5577"/>
    <w:rsid w:val="284E528B"/>
    <w:rsid w:val="28577130"/>
    <w:rsid w:val="291C5C44"/>
    <w:rsid w:val="2977525D"/>
    <w:rsid w:val="29C75056"/>
    <w:rsid w:val="29CF41A8"/>
    <w:rsid w:val="29D36710"/>
    <w:rsid w:val="2ABA66E2"/>
    <w:rsid w:val="2B46553E"/>
    <w:rsid w:val="2B5B443C"/>
    <w:rsid w:val="2BCF0B6A"/>
    <w:rsid w:val="2BF9357E"/>
    <w:rsid w:val="2C363767"/>
    <w:rsid w:val="2D3E19BA"/>
    <w:rsid w:val="2D481A64"/>
    <w:rsid w:val="2DA32E56"/>
    <w:rsid w:val="2DA729BC"/>
    <w:rsid w:val="2DEA65C2"/>
    <w:rsid w:val="2E420DA7"/>
    <w:rsid w:val="2E7828CE"/>
    <w:rsid w:val="2EA951C2"/>
    <w:rsid w:val="2F297E75"/>
    <w:rsid w:val="2F3F6949"/>
    <w:rsid w:val="304C31A2"/>
    <w:rsid w:val="30F9585B"/>
    <w:rsid w:val="31A125ED"/>
    <w:rsid w:val="31C8770C"/>
    <w:rsid w:val="31E03171"/>
    <w:rsid w:val="31F03C25"/>
    <w:rsid w:val="31FC2418"/>
    <w:rsid w:val="323C4091"/>
    <w:rsid w:val="328405AD"/>
    <w:rsid w:val="330B0E2E"/>
    <w:rsid w:val="336D3922"/>
    <w:rsid w:val="33FC015A"/>
    <w:rsid w:val="340E2A61"/>
    <w:rsid w:val="341D290A"/>
    <w:rsid w:val="34953C36"/>
    <w:rsid w:val="34A51617"/>
    <w:rsid w:val="34D72F2E"/>
    <w:rsid w:val="34E13888"/>
    <w:rsid w:val="34EB5AAA"/>
    <w:rsid w:val="34F915EA"/>
    <w:rsid w:val="359B2F1A"/>
    <w:rsid w:val="36297449"/>
    <w:rsid w:val="368921BF"/>
    <w:rsid w:val="37043AEE"/>
    <w:rsid w:val="379A4071"/>
    <w:rsid w:val="37B3604B"/>
    <w:rsid w:val="37DF4AD2"/>
    <w:rsid w:val="38093F80"/>
    <w:rsid w:val="388F774F"/>
    <w:rsid w:val="395A59C0"/>
    <w:rsid w:val="398F57DA"/>
    <w:rsid w:val="39AC730D"/>
    <w:rsid w:val="39E430C3"/>
    <w:rsid w:val="3A235CFD"/>
    <w:rsid w:val="3AE66A31"/>
    <w:rsid w:val="3B021931"/>
    <w:rsid w:val="3B0E664A"/>
    <w:rsid w:val="3B62094D"/>
    <w:rsid w:val="3BC136BC"/>
    <w:rsid w:val="3BFE7A30"/>
    <w:rsid w:val="3C292AD9"/>
    <w:rsid w:val="3C78514F"/>
    <w:rsid w:val="3CFE5DA8"/>
    <w:rsid w:val="3D747C3E"/>
    <w:rsid w:val="3D9122FA"/>
    <w:rsid w:val="3F643F42"/>
    <w:rsid w:val="3FBE1984"/>
    <w:rsid w:val="40417967"/>
    <w:rsid w:val="40B26D93"/>
    <w:rsid w:val="40D53322"/>
    <w:rsid w:val="4129475F"/>
    <w:rsid w:val="41551140"/>
    <w:rsid w:val="4176473F"/>
    <w:rsid w:val="41C640F7"/>
    <w:rsid w:val="41FA44F8"/>
    <w:rsid w:val="42AC3521"/>
    <w:rsid w:val="43187D6D"/>
    <w:rsid w:val="4356268C"/>
    <w:rsid w:val="43BC5C20"/>
    <w:rsid w:val="43EB56DF"/>
    <w:rsid w:val="449C0FC6"/>
    <w:rsid w:val="44CC65D0"/>
    <w:rsid w:val="4563563C"/>
    <w:rsid w:val="45714964"/>
    <w:rsid w:val="45EE63A2"/>
    <w:rsid w:val="4713141D"/>
    <w:rsid w:val="47205504"/>
    <w:rsid w:val="476D4662"/>
    <w:rsid w:val="477D5225"/>
    <w:rsid w:val="47FB6A4D"/>
    <w:rsid w:val="480008A8"/>
    <w:rsid w:val="485427D7"/>
    <w:rsid w:val="4871131E"/>
    <w:rsid w:val="487601B6"/>
    <w:rsid w:val="48872525"/>
    <w:rsid w:val="49433804"/>
    <w:rsid w:val="494B70D5"/>
    <w:rsid w:val="4A7C0ECA"/>
    <w:rsid w:val="4AA414CB"/>
    <w:rsid w:val="4AEC3AC1"/>
    <w:rsid w:val="4BEC00E2"/>
    <w:rsid w:val="4C7B0EF5"/>
    <w:rsid w:val="4D267823"/>
    <w:rsid w:val="4D4815C2"/>
    <w:rsid w:val="4D657338"/>
    <w:rsid w:val="4DFC4F2C"/>
    <w:rsid w:val="4E0338CF"/>
    <w:rsid w:val="4E6A7C4E"/>
    <w:rsid w:val="4E6E59F1"/>
    <w:rsid w:val="4E8C1163"/>
    <w:rsid w:val="4F7466D6"/>
    <w:rsid w:val="4FE466E1"/>
    <w:rsid w:val="4FFD70F6"/>
    <w:rsid w:val="50323E83"/>
    <w:rsid w:val="503C7C8E"/>
    <w:rsid w:val="50A81C1B"/>
    <w:rsid w:val="50BB1C63"/>
    <w:rsid w:val="50F140D9"/>
    <w:rsid w:val="5128521C"/>
    <w:rsid w:val="51331C92"/>
    <w:rsid w:val="513821F0"/>
    <w:rsid w:val="516A346B"/>
    <w:rsid w:val="51D27418"/>
    <w:rsid w:val="52525E98"/>
    <w:rsid w:val="534B171A"/>
    <w:rsid w:val="537A4347"/>
    <w:rsid w:val="5435460F"/>
    <w:rsid w:val="543C76F0"/>
    <w:rsid w:val="552A4345"/>
    <w:rsid w:val="55532F00"/>
    <w:rsid w:val="55553C7A"/>
    <w:rsid w:val="55AA572F"/>
    <w:rsid w:val="55DC535C"/>
    <w:rsid w:val="561A0231"/>
    <w:rsid w:val="56680059"/>
    <w:rsid w:val="5750309F"/>
    <w:rsid w:val="582950D6"/>
    <w:rsid w:val="58A40959"/>
    <w:rsid w:val="59A85CAD"/>
    <w:rsid w:val="59AD702D"/>
    <w:rsid w:val="5A2C46F1"/>
    <w:rsid w:val="5A982C41"/>
    <w:rsid w:val="5AF82EE1"/>
    <w:rsid w:val="5B812E2C"/>
    <w:rsid w:val="5C1F27A9"/>
    <w:rsid w:val="5C2E3D3A"/>
    <w:rsid w:val="5C475DC2"/>
    <w:rsid w:val="5C4C26DD"/>
    <w:rsid w:val="5CE110EE"/>
    <w:rsid w:val="5D965750"/>
    <w:rsid w:val="5DB21FF4"/>
    <w:rsid w:val="5DEC5CEE"/>
    <w:rsid w:val="5E2330CF"/>
    <w:rsid w:val="5EEB4C16"/>
    <w:rsid w:val="5F286671"/>
    <w:rsid w:val="601E266E"/>
    <w:rsid w:val="60490FDF"/>
    <w:rsid w:val="60E45647"/>
    <w:rsid w:val="61705476"/>
    <w:rsid w:val="62166DC4"/>
    <w:rsid w:val="62FE6A07"/>
    <w:rsid w:val="63050BB9"/>
    <w:rsid w:val="63696A2E"/>
    <w:rsid w:val="63E35A8D"/>
    <w:rsid w:val="64072EA8"/>
    <w:rsid w:val="64535467"/>
    <w:rsid w:val="646A423F"/>
    <w:rsid w:val="64A4332E"/>
    <w:rsid w:val="64F535CA"/>
    <w:rsid w:val="6500490A"/>
    <w:rsid w:val="650D10C7"/>
    <w:rsid w:val="651F60C8"/>
    <w:rsid w:val="659D04F7"/>
    <w:rsid w:val="659D498D"/>
    <w:rsid w:val="66516764"/>
    <w:rsid w:val="67DB0D51"/>
    <w:rsid w:val="67F30197"/>
    <w:rsid w:val="685663DB"/>
    <w:rsid w:val="688961AE"/>
    <w:rsid w:val="68AB0343"/>
    <w:rsid w:val="68D22E0A"/>
    <w:rsid w:val="68DD59E6"/>
    <w:rsid w:val="68ED2FAF"/>
    <w:rsid w:val="694412BF"/>
    <w:rsid w:val="69C34CCA"/>
    <w:rsid w:val="6A2A6ABF"/>
    <w:rsid w:val="6A39489C"/>
    <w:rsid w:val="6AAA5074"/>
    <w:rsid w:val="6B595E89"/>
    <w:rsid w:val="6BDC33EC"/>
    <w:rsid w:val="6C26230F"/>
    <w:rsid w:val="6C2D7F56"/>
    <w:rsid w:val="6D0B6E51"/>
    <w:rsid w:val="6D1E1611"/>
    <w:rsid w:val="6DBF92C6"/>
    <w:rsid w:val="6DD134BB"/>
    <w:rsid w:val="6E491C9E"/>
    <w:rsid w:val="6E67583D"/>
    <w:rsid w:val="6E6A232F"/>
    <w:rsid w:val="6EAE74F5"/>
    <w:rsid w:val="6EC95881"/>
    <w:rsid w:val="6ECA22E1"/>
    <w:rsid w:val="6EED49C0"/>
    <w:rsid w:val="6F4849C5"/>
    <w:rsid w:val="6F582C0D"/>
    <w:rsid w:val="6F8A55DB"/>
    <w:rsid w:val="6FE868F7"/>
    <w:rsid w:val="6FFF2618"/>
    <w:rsid w:val="7013414A"/>
    <w:rsid w:val="706741B6"/>
    <w:rsid w:val="70D917BD"/>
    <w:rsid w:val="71100B0B"/>
    <w:rsid w:val="71A7394D"/>
    <w:rsid w:val="71B72890"/>
    <w:rsid w:val="72055C6C"/>
    <w:rsid w:val="7225310B"/>
    <w:rsid w:val="72682EF6"/>
    <w:rsid w:val="72E13A64"/>
    <w:rsid w:val="72EB72D6"/>
    <w:rsid w:val="733E7825"/>
    <w:rsid w:val="73A8077C"/>
    <w:rsid w:val="73DF11EA"/>
    <w:rsid w:val="74215C4D"/>
    <w:rsid w:val="74B0389B"/>
    <w:rsid w:val="74CE1834"/>
    <w:rsid w:val="75095312"/>
    <w:rsid w:val="75180312"/>
    <w:rsid w:val="757E7FC0"/>
    <w:rsid w:val="766B7B7A"/>
    <w:rsid w:val="77BE3B00"/>
    <w:rsid w:val="77E9454A"/>
    <w:rsid w:val="77F33013"/>
    <w:rsid w:val="78103DC7"/>
    <w:rsid w:val="78290A8D"/>
    <w:rsid w:val="782E1550"/>
    <w:rsid w:val="785802B2"/>
    <w:rsid w:val="78AB77B5"/>
    <w:rsid w:val="78AE3744"/>
    <w:rsid w:val="78B00D79"/>
    <w:rsid w:val="793F3716"/>
    <w:rsid w:val="79715D35"/>
    <w:rsid w:val="79902CB1"/>
    <w:rsid w:val="79F679A6"/>
    <w:rsid w:val="7A3108D3"/>
    <w:rsid w:val="7A361A05"/>
    <w:rsid w:val="7A384A59"/>
    <w:rsid w:val="7A4E71A8"/>
    <w:rsid w:val="7BB9446E"/>
    <w:rsid w:val="7BF90F13"/>
    <w:rsid w:val="7C4A0343"/>
    <w:rsid w:val="7C657C92"/>
    <w:rsid w:val="7C741AA9"/>
    <w:rsid w:val="7C750F13"/>
    <w:rsid w:val="7C852788"/>
    <w:rsid w:val="7CC77B1B"/>
    <w:rsid w:val="7D22291C"/>
    <w:rsid w:val="7D5B0502"/>
    <w:rsid w:val="7DDA2CEF"/>
    <w:rsid w:val="7DF424B5"/>
    <w:rsid w:val="7E6F3DCF"/>
    <w:rsid w:val="7E8A2C3D"/>
    <w:rsid w:val="7EEE59F8"/>
    <w:rsid w:val="7EF82F4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ocked="1"/>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0" w:semiHidden="0" w:name="Body Text Indent 3" w:locked="1"/>
    <w:lsdException w:uiPriority="99" w:name="Block Text" w:locked="1"/>
    <w:lsdException w:qFormat="1" w:uiPriority="99" w:semiHidden="0" w:name="Hyperlink" w:locked="1"/>
    <w:lsdException w:qFormat="1" w:uiPriority="99" w:semiHidden="0"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qFormat="1" w:uiPriority="99" w:name="HTML Preformatted" w:locked="1"/>
    <w:lsdException w:qFormat="1" w:uiPriority="99" w:semiHidden="0" w:name="HTML Sample" w:locked="1"/>
    <w:lsdException w:qFormat="1" w:uiPriority="99" w:semiHidden="0" w:name="HTML Typewriter" w:locked="1"/>
    <w:lsdException w:qFormat="1" w:uiPriority="99" w:semiHidden="0" w:name="HTML Variable" w:locked="1"/>
    <w:lsdException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3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1"/>
    <w:qFormat/>
    <w:locked/>
    <w:uiPriority w:val="99"/>
    <w:pPr>
      <w:keepNext/>
      <w:keepLines/>
      <w:spacing w:line="578" w:lineRule="auto"/>
      <w:outlineLvl w:val="0"/>
    </w:pPr>
    <w:rPr>
      <w:b/>
      <w:bCs/>
      <w:kern w:val="44"/>
      <w:sz w:val="44"/>
      <w:szCs w:val="44"/>
    </w:rPr>
  </w:style>
  <w:style w:type="paragraph" w:styleId="3">
    <w:name w:val="heading 2"/>
    <w:basedOn w:val="1"/>
    <w:next w:val="1"/>
    <w:qFormat/>
    <w:uiPriority w:val="9"/>
    <w:pPr>
      <w:autoSpaceDE w:val="0"/>
      <w:autoSpaceDN w:val="0"/>
      <w:adjustRightInd w:val="0"/>
      <w:snapToGrid w:val="0"/>
      <w:spacing w:beforeLines="50" w:afterLines="50" w:line="440" w:lineRule="exact"/>
      <w:jc w:val="left"/>
      <w:outlineLvl w:val="1"/>
    </w:pPr>
    <w:rPr>
      <w:rFonts w:ascii="Arial" w:hAnsi="Arial"/>
      <w:b/>
      <w:sz w:val="32"/>
      <w:szCs w:val="20"/>
    </w:rPr>
  </w:style>
  <w:style w:type="paragraph" w:styleId="4">
    <w:name w:val="heading 3"/>
    <w:basedOn w:val="1"/>
    <w:next w:val="1"/>
    <w:link w:val="42"/>
    <w:qFormat/>
    <w:uiPriority w:val="99"/>
    <w:pPr>
      <w:keepNext/>
      <w:keepLines/>
      <w:spacing w:line="413" w:lineRule="auto"/>
      <w:outlineLvl w:val="2"/>
    </w:pPr>
    <w:rPr>
      <w:b/>
      <w:bCs/>
      <w:sz w:val="32"/>
      <w:szCs w:val="32"/>
    </w:rPr>
  </w:style>
  <w:style w:type="paragraph" w:styleId="5">
    <w:name w:val="heading 4"/>
    <w:basedOn w:val="1"/>
    <w:next w:val="1"/>
    <w:link w:val="43"/>
    <w:qFormat/>
    <w:locked/>
    <w:uiPriority w:val="99"/>
    <w:pPr>
      <w:widowControl/>
      <w:spacing w:beforeAutospacing="1" w:afterAutospacing="1"/>
      <w:jc w:val="left"/>
      <w:outlineLvl w:val="3"/>
    </w:pPr>
    <w:rPr>
      <w:rFonts w:ascii="宋体" w:hAnsi="宋体" w:cs="宋体"/>
      <w:b/>
      <w:bCs/>
      <w:kern w:val="0"/>
      <w:sz w:val="24"/>
      <w:szCs w:val="24"/>
    </w:rPr>
  </w:style>
  <w:style w:type="paragraph" w:styleId="6">
    <w:name w:val="heading 5"/>
    <w:basedOn w:val="1"/>
    <w:next w:val="1"/>
    <w:link w:val="44"/>
    <w:qFormat/>
    <w:locked/>
    <w:uiPriority w:val="99"/>
    <w:pPr>
      <w:widowControl/>
      <w:spacing w:beforeAutospacing="1" w:afterAutospacing="1"/>
      <w:jc w:val="left"/>
      <w:outlineLvl w:val="4"/>
    </w:pPr>
    <w:rPr>
      <w:rFonts w:ascii="宋体" w:hAnsi="宋体" w:cs="宋体"/>
      <w:b/>
      <w:bCs/>
      <w:kern w:val="0"/>
      <w:sz w:val="20"/>
      <w:szCs w:val="20"/>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56"/>
    <w:unhideWhenUsed/>
    <w:qFormat/>
    <w:locked/>
    <w:uiPriority w:val="99"/>
    <w:pPr>
      <w:jc w:val="left"/>
    </w:pPr>
  </w:style>
  <w:style w:type="paragraph" w:styleId="8">
    <w:name w:val="Body Text"/>
    <w:basedOn w:val="1"/>
    <w:next w:val="1"/>
    <w:link w:val="45"/>
    <w:qFormat/>
    <w:uiPriority w:val="99"/>
    <w:rPr>
      <w:rFonts w:ascii="宋体" w:hAnsi="宋体" w:cs="宋体"/>
      <w:sz w:val="28"/>
      <w:szCs w:val="28"/>
    </w:rPr>
  </w:style>
  <w:style w:type="paragraph" w:styleId="9">
    <w:name w:val="Body Text Indent"/>
    <w:basedOn w:val="1"/>
    <w:link w:val="46"/>
    <w:qFormat/>
    <w:uiPriority w:val="99"/>
    <w:pPr>
      <w:ind w:firstLine="568" w:firstLineChars="203"/>
    </w:pPr>
    <w:rPr>
      <w:rFonts w:ascii="宋体" w:hAnsi="宋体" w:cs="宋体"/>
      <w:sz w:val="28"/>
      <w:szCs w:val="28"/>
    </w:rPr>
  </w:style>
  <w:style w:type="paragraph" w:styleId="10">
    <w:name w:val="Body Text Indent 2"/>
    <w:basedOn w:val="1"/>
    <w:link w:val="47"/>
    <w:qFormat/>
    <w:uiPriority w:val="99"/>
    <w:pPr>
      <w:spacing w:line="480" w:lineRule="auto"/>
      <w:ind w:left="420" w:leftChars="200"/>
    </w:pPr>
  </w:style>
  <w:style w:type="paragraph" w:styleId="11">
    <w:name w:val="Balloon Text"/>
    <w:basedOn w:val="1"/>
    <w:link w:val="55"/>
    <w:unhideWhenUsed/>
    <w:qFormat/>
    <w:locked/>
    <w:uiPriority w:val="99"/>
    <w:rPr>
      <w:sz w:val="18"/>
      <w:szCs w:val="18"/>
    </w:rPr>
  </w:style>
  <w:style w:type="paragraph" w:styleId="12">
    <w:name w:val="footer"/>
    <w:basedOn w:val="1"/>
    <w:link w:val="48"/>
    <w:qFormat/>
    <w:uiPriority w:val="99"/>
    <w:pPr>
      <w:tabs>
        <w:tab w:val="center" w:pos="4153"/>
        <w:tab w:val="right" w:pos="8306"/>
      </w:tabs>
      <w:snapToGrid w:val="0"/>
      <w:jc w:val="left"/>
    </w:pPr>
    <w:rPr>
      <w:sz w:val="18"/>
      <w:szCs w:val="18"/>
    </w:rPr>
  </w:style>
  <w:style w:type="paragraph" w:styleId="13">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locked/>
    <w:uiPriority w:val="0"/>
    <w:pPr>
      <w:spacing w:after="120"/>
      <w:ind w:left="420" w:leftChars="200"/>
    </w:pPr>
    <w:rPr>
      <w:sz w:val="16"/>
    </w:rPr>
  </w:style>
  <w:style w:type="paragraph" w:styleId="16">
    <w:name w:val="toc 2"/>
    <w:basedOn w:val="1"/>
    <w:next w:val="1"/>
    <w:qFormat/>
    <w:uiPriority w:val="39"/>
    <w:pPr>
      <w:ind w:left="420" w:leftChars="200"/>
    </w:pPr>
  </w:style>
  <w:style w:type="paragraph" w:styleId="17">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8">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link w:val="50"/>
    <w:qFormat/>
    <w:uiPriority w:val="99"/>
    <w:pPr>
      <w:widowControl/>
      <w:jc w:val="center"/>
    </w:pPr>
    <w:rPr>
      <w:kern w:val="0"/>
      <w:sz w:val="20"/>
      <w:szCs w:val="20"/>
      <w:u w:val="single"/>
      <w:lang w:eastAsia="en-US"/>
    </w:rPr>
  </w:style>
  <w:style w:type="paragraph" w:styleId="20">
    <w:name w:val="annotation subject"/>
    <w:basedOn w:val="7"/>
    <w:next w:val="7"/>
    <w:link w:val="57"/>
    <w:unhideWhenUsed/>
    <w:qFormat/>
    <w:locked/>
    <w:uiPriority w:val="99"/>
    <w:rPr>
      <w:b/>
      <w:bCs/>
    </w:rPr>
  </w:style>
  <w:style w:type="paragraph" w:styleId="21">
    <w:name w:val="Body Text First Indent"/>
    <w:basedOn w:val="8"/>
    <w:qFormat/>
    <w:locked/>
    <w:uiPriority w:val="0"/>
    <w:pPr>
      <w:spacing w:line="360" w:lineRule="auto"/>
      <w:ind w:firstLine="420"/>
    </w:pPr>
    <w:rPr>
      <w:sz w:val="24"/>
    </w:rPr>
  </w:style>
  <w:style w:type="paragraph" w:styleId="22">
    <w:name w:val="Body Text First Indent 2"/>
    <w:basedOn w:val="9"/>
    <w:qFormat/>
    <w:locked/>
    <w:uiPriority w:val="0"/>
    <w:pPr>
      <w:ind w:firstLine="42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basedOn w:val="25"/>
    <w:qFormat/>
    <w:uiPriority w:val="99"/>
  </w:style>
  <w:style w:type="character" w:styleId="28">
    <w:name w:val="FollowedHyperlink"/>
    <w:basedOn w:val="25"/>
    <w:unhideWhenUsed/>
    <w:qFormat/>
    <w:locked/>
    <w:uiPriority w:val="99"/>
    <w:rPr>
      <w:color w:val="800080"/>
      <w:u w:val="none"/>
    </w:rPr>
  </w:style>
  <w:style w:type="character" w:styleId="29">
    <w:name w:val="Emphasis"/>
    <w:basedOn w:val="25"/>
    <w:qFormat/>
    <w:uiPriority w:val="0"/>
    <w:rPr>
      <w:b/>
      <w:bCs/>
    </w:rPr>
  </w:style>
  <w:style w:type="character" w:styleId="30">
    <w:name w:val="HTML Definition"/>
    <w:basedOn w:val="25"/>
    <w:unhideWhenUsed/>
    <w:qFormat/>
    <w:locked/>
    <w:uiPriority w:val="99"/>
  </w:style>
  <w:style w:type="character" w:styleId="31">
    <w:name w:val="HTML Typewriter"/>
    <w:basedOn w:val="25"/>
    <w:unhideWhenUsed/>
    <w:qFormat/>
    <w:locked/>
    <w:uiPriority w:val="99"/>
    <w:rPr>
      <w:rFonts w:hint="default" w:ascii="monospace" w:hAnsi="monospace" w:eastAsia="monospace" w:cs="monospace"/>
      <w:sz w:val="20"/>
    </w:rPr>
  </w:style>
  <w:style w:type="character" w:styleId="32">
    <w:name w:val="HTML Acronym"/>
    <w:basedOn w:val="25"/>
    <w:unhideWhenUsed/>
    <w:qFormat/>
    <w:locked/>
    <w:uiPriority w:val="99"/>
  </w:style>
  <w:style w:type="character" w:styleId="33">
    <w:name w:val="HTML Variable"/>
    <w:basedOn w:val="25"/>
    <w:unhideWhenUsed/>
    <w:qFormat/>
    <w:locked/>
    <w:uiPriority w:val="99"/>
  </w:style>
  <w:style w:type="character" w:styleId="34">
    <w:name w:val="Hyperlink"/>
    <w:basedOn w:val="25"/>
    <w:unhideWhenUsed/>
    <w:qFormat/>
    <w:locked/>
    <w:uiPriority w:val="99"/>
    <w:rPr>
      <w:color w:val="0000FF"/>
      <w:u w:val="none"/>
    </w:rPr>
  </w:style>
  <w:style w:type="character" w:styleId="35">
    <w:name w:val="HTML Code"/>
    <w:basedOn w:val="25"/>
    <w:unhideWhenUsed/>
    <w:qFormat/>
    <w:locked/>
    <w:uiPriority w:val="99"/>
    <w:rPr>
      <w:rFonts w:hint="default" w:ascii="monospace" w:hAnsi="monospace" w:eastAsia="monospace" w:cs="monospace"/>
      <w:sz w:val="20"/>
    </w:rPr>
  </w:style>
  <w:style w:type="character" w:styleId="36">
    <w:name w:val="annotation reference"/>
    <w:basedOn w:val="25"/>
    <w:semiHidden/>
    <w:qFormat/>
    <w:uiPriority w:val="99"/>
    <w:rPr>
      <w:sz w:val="21"/>
      <w:szCs w:val="21"/>
    </w:rPr>
  </w:style>
  <w:style w:type="character" w:styleId="37">
    <w:name w:val="HTML Cite"/>
    <w:basedOn w:val="25"/>
    <w:unhideWhenUsed/>
    <w:qFormat/>
    <w:locked/>
    <w:uiPriority w:val="99"/>
  </w:style>
  <w:style w:type="character" w:styleId="38">
    <w:name w:val="HTML Keyboard"/>
    <w:basedOn w:val="25"/>
    <w:unhideWhenUsed/>
    <w:qFormat/>
    <w:locked/>
    <w:uiPriority w:val="99"/>
    <w:rPr>
      <w:rFonts w:ascii="monospace" w:hAnsi="monospace" w:eastAsia="monospace" w:cs="monospace"/>
      <w:sz w:val="20"/>
    </w:rPr>
  </w:style>
  <w:style w:type="character" w:styleId="39">
    <w:name w:val="HTML Sample"/>
    <w:basedOn w:val="25"/>
    <w:unhideWhenUsed/>
    <w:qFormat/>
    <w:locked/>
    <w:uiPriority w:val="99"/>
    <w:rPr>
      <w:rFonts w:hint="default" w:ascii="monospace" w:hAnsi="monospace" w:eastAsia="monospace" w:cs="monospace"/>
    </w:rPr>
  </w:style>
  <w:style w:type="paragraph" w:customStyle="1" w:styleId="40">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character" w:customStyle="1" w:styleId="41">
    <w:name w:val="标题 1 字符"/>
    <w:basedOn w:val="25"/>
    <w:link w:val="2"/>
    <w:qFormat/>
    <w:locked/>
    <w:uiPriority w:val="99"/>
    <w:rPr>
      <w:rFonts w:ascii="Times New Roman" w:hAnsi="Times New Roman" w:cs="Times New Roman"/>
      <w:b/>
      <w:bCs/>
      <w:kern w:val="44"/>
      <w:sz w:val="44"/>
      <w:szCs w:val="44"/>
    </w:rPr>
  </w:style>
  <w:style w:type="character" w:customStyle="1" w:styleId="42">
    <w:name w:val="标题 3 字符"/>
    <w:basedOn w:val="25"/>
    <w:link w:val="4"/>
    <w:semiHidden/>
    <w:qFormat/>
    <w:locked/>
    <w:uiPriority w:val="99"/>
    <w:rPr>
      <w:rFonts w:ascii="Times New Roman" w:hAnsi="Times New Roman" w:cs="Times New Roman"/>
      <w:b/>
      <w:bCs/>
      <w:sz w:val="32"/>
      <w:szCs w:val="32"/>
    </w:rPr>
  </w:style>
  <w:style w:type="character" w:customStyle="1" w:styleId="43">
    <w:name w:val="标题 4 字符"/>
    <w:basedOn w:val="25"/>
    <w:link w:val="5"/>
    <w:semiHidden/>
    <w:qFormat/>
    <w:locked/>
    <w:uiPriority w:val="99"/>
    <w:rPr>
      <w:rFonts w:ascii="Cambria" w:hAnsi="Cambria" w:eastAsia="宋体" w:cs="Cambria"/>
      <w:b/>
      <w:bCs/>
      <w:sz w:val="28"/>
      <w:szCs w:val="28"/>
    </w:rPr>
  </w:style>
  <w:style w:type="character" w:customStyle="1" w:styleId="44">
    <w:name w:val="标题 5 字符"/>
    <w:basedOn w:val="25"/>
    <w:link w:val="6"/>
    <w:semiHidden/>
    <w:qFormat/>
    <w:locked/>
    <w:uiPriority w:val="99"/>
    <w:rPr>
      <w:rFonts w:ascii="Times New Roman" w:hAnsi="Times New Roman" w:cs="Times New Roman"/>
      <w:b/>
      <w:bCs/>
      <w:sz w:val="28"/>
      <w:szCs w:val="28"/>
    </w:rPr>
  </w:style>
  <w:style w:type="character" w:customStyle="1" w:styleId="45">
    <w:name w:val="正文文本 字符"/>
    <w:basedOn w:val="25"/>
    <w:link w:val="8"/>
    <w:semiHidden/>
    <w:qFormat/>
    <w:locked/>
    <w:uiPriority w:val="99"/>
    <w:rPr>
      <w:rFonts w:ascii="Times New Roman" w:hAnsi="Times New Roman" w:cs="Times New Roman"/>
      <w:sz w:val="21"/>
      <w:szCs w:val="21"/>
    </w:rPr>
  </w:style>
  <w:style w:type="character" w:customStyle="1" w:styleId="46">
    <w:name w:val="正文文本缩进 字符"/>
    <w:basedOn w:val="25"/>
    <w:link w:val="9"/>
    <w:semiHidden/>
    <w:qFormat/>
    <w:locked/>
    <w:uiPriority w:val="99"/>
    <w:rPr>
      <w:rFonts w:ascii="Times New Roman" w:hAnsi="Times New Roman" w:cs="Times New Roman"/>
      <w:sz w:val="21"/>
      <w:szCs w:val="21"/>
    </w:rPr>
  </w:style>
  <w:style w:type="character" w:customStyle="1" w:styleId="47">
    <w:name w:val="正文文本缩进 2 字符"/>
    <w:basedOn w:val="25"/>
    <w:link w:val="10"/>
    <w:semiHidden/>
    <w:qFormat/>
    <w:locked/>
    <w:uiPriority w:val="99"/>
    <w:rPr>
      <w:rFonts w:ascii="Times New Roman" w:hAnsi="Times New Roman" w:cs="Times New Roman"/>
      <w:sz w:val="21"/>
      <w:szCs w:val="21"/>
    </w:rPr>
  </w:style>
  <w:style w:type="character" w:customStyle="1" w:styleId="48">
    <w:name w:val="页脚 字符"/>
    <w:basedOn w:val="25"/>
    <w:link w:val="12"/>
    <w:qFormat/>
    <w:locked/>
    <w:uiPriority w:val="99"/>
    <w:rPr>
      <w:rFonts w:ascii="Times New Roman" w:hAnsi="Times New Roman" w:cs="Times New Roman"/>
      <w:sz w:val="18"/>
      <w:szCs w:val="18"/>
    </w:rPr>
  </w:style>
  <w:style w:type="character" w:customStyle="1" w:styleId="49">
    <w:name w:val="页眉 字符"/>
    <w:basedOn w:val="25"/>
    <w:link w:val="13"/>
    <w:semiHidden/>
    <w:qFormat/>
    <w:locked/>
    <w:uiPriority w:val="99"/>
    <w:rPr>
      <w:rFonts w:ascii="Times New Roman" w:hAnsi="Times New Roman" w:cs="Times New Roman"/>
      <w:sz w:val="18"/>
      <w:szCs w:val="18"/>
    </w:rPr>
  </w:style>
  <w:style w:type="character" w:customStyle="1" w:styleId="50">
    <w:name w:val="标题 字符"/>
    <w:basedOn w:val="25"/>
    <w:link w:val="19"/>
    <w:qFormat/>
    <w:locked/>
    <w:uiPriority w:val="99"/>
    <w:rPr>
      <w:rFonts w:ascii="Cambria" w:hAnsi="Cambria" w:cs="Cambria"/>
      <w:b/>
      <w:bCs/>
      <w:sz w:val="32"/>
      <w:szCs w:val="32"/>
    </w:rPr>
  </w:style>
  <w:style w:type="paragraph" w:customStyle="1" w:styleId="51">
    <w:name w:val="WPSOffice手动目录 1"/>
    <w:qFormat/>
    <w:uiPriority w:val="99"/>
    <w:rPr>
      <w:rFonts w:ascii="Times New Roman" w:hAnsi="Times New Roman" w:eastAsia="宋体" w:cs="Times New Roman"/>
      <w:lang w:val="en-US" w:eastAsia="zh-CN" w:bidi="ar-SA"/>
    </w:rPr>
  </w:style>
  <w:style w:type="paragraph" w:customStyle="1" w:styleId="52">
    <w:name w:val="附件标题-1"/>
    <w:basedOn w:val="1"/>
    <w:qFormat/>
    <w:uiPriority w:val="99"/>
    <w:pPr>
      <w:spacing w:beforeLines="50" w:afterLines="50"/>
      <w:jc w:val="center"/>
    </w:pPr>
    <w:rPr>
      <w:rFonts w:eastAsia="黑体"/>
      <w:sz w:val="32"/>
      <w:szCs w:val="32"/>
    </w:rPr>
  </w:style>
  <w:style w:type="paragraph" w:customStyle="1" w:styleId="53">
    <w:name w:val="TOC 标题1"/>
    <w:basedOn w:val="2"/>
    <w:next w:val="1"/>
    <w:qFormat/>
    <w:uiPriority w:val="99"/>
    <w:pPr>
      <w:widowControl/>
      <w:spacing w:before="480" w:line="276" w:lineRule="auto"/>
      <w:jc w:val="left"/>
      <w:outlineLvl w:val="9"/>
    </w:pPr>
    <w:rPr>
      <w:rFonts w:ascii="Cambria" w:hAnsi="Cambria" w:cs="Cambria"/>
      <w:color w:val="365F91"/>
      <w:kern w:val="0"/>
      <w:sz w:val="28"/>
      <w:szCs w:val="28"/>
    </w:rPr>
  </w:style>
  <w:style w:type="paragraph" w:customStyle="1" w:styleId="54">
    <w:name w:val="列出段落11"/>
    <w:basedOn w:val="1"/>
    <w:qFormat/>
    <w:uiPriority w:val="99"/>
    <w:pPr>
      <w:ind w:firstLine="420" w:firstLineChars="200"/>
    </w:pPr>
    <w:rPr>
      <w:sz w:val="28"/>
      <w:szCs w:val="28"/>
    </w:rPr>
  </w:style>
  <w:style w:type="character" w:customStyle="1" w:styleId="55">
    <w:name w:val="批注框文本 字符"/>
    <w:basedOn w:val="25"/>
    <w:link w:val="11"/>
    <w:semiHidden/>
    <w:qFormat/>
    <w:uiPriority w:val="99"/>
    <w:rPr>
      <w:kern w:val="2"/>
      <w:sz w:val="18"/>
      <w:szCs w:val="18"/>
    </w:rPr>
  </w:style>
  <w:style w:type="character" w:customStyle="1" w:styleId="56">
    <w:name w:val="批注文字 字符"/>
    <w:basedOn w:val="25"/>
    <w:link w:val="7"/>
    <w:qFormat/>
    <w:uiPriority w:val="99"/>
    <w:rPr>
      <w:kern w:val="2"/>
      <w:sz w:val="21"/>
      <w:szCs w:val="21"/>
    </w:rPr>
  </w:style>
  <w:style w:type="character" w:customStyle="1" w:styleId="57">
    <w:name w:val="批注主题 字符"/>
    <w:basedOn w:val="56"/>
    <w:link w:val="20"/>
    <w:semiHidden/>
    <w:qFormat/>
    <w:uiPriority w:val="99"/>
    <w:rPr>
      <w:b/>
      <w:bCs/>
      <w:kern w:val="2"/>
      <w:sz w:val="21"/>
      <w:szCs w:val="21"/>
    </w:rPr>
  </w:style>
  <w:style w:type="paragraph" w:customStyle="1" w:styleId="58">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59">
    <w:name w:val="choose-status"/>
    <w:basedOn w:val="25"/>
    <w:qFormat/>
    <w:uiPriority w:val="0"/>
    <w:rPr>
      <w:color w:val="1F85EC"/>
      <w:shd w:val="clear" w:color="auto" w:fill="FFFFFF"/>
    </w:rPr>
  </w:style>
  <w:style w:type="character" w:customStyle="1" w:styleId="60">
    <w:name w:val="movedownrow"/>
    <w:basedOn w:val="25"/>
    <w:qFormat/>
    <w:uiPriority w:val="0"/>
    <w:rPr>
      <w:color w:val="1F85EC"/>
    </w:rPr>
  </w:style>
  <w:style w:type="character" w:customStyle="1" w:styleId="61">
    <w:name w:val="drapbtn"/>
    <w:basedOn w:val="25"/>
    <w:qFormat/>
    <w:uiPriority w:val="0"/>
  </w:style>
  <w:style w:type="character" w:customStyle="1" w:styleId="62">
    <w:name w:val="layui-layer-tabnow"/>
    <w:basedOn w:val="25"/>
    <w:qFormat/>
    <w:uiPriority w:val="0"/>
    <w:rPr>
      <w:bdr w:val="single" w:color="CCCCCC" w:sz="6" w:space="0"/>
      <w:shd w:val="clear" w:color="auto" w:fill="FFFFFF"/>
    </w:rPr>
  </w:style>
  <w:style w:type="character" w:customStyle="1" w:styleId="63">
    <w:name w:val="pagechatarealistclose_box"/>
    <w:basedOn w:val="25"/>
    <w:qFormat/>
    <w:uiPriority w:val="0"/>
  </w:style>
  <w:style w:type="character" w:customStyle="1" w:styleId="64">
    <w:name w:val="pagechatarealistclose_box1"/>
    <w:basedOn w:val="25"/>
    <w:qFormat/>
    <w:uiPriority w:val="0"/>
  </w:style>
  <w:style w:type="character" w:customStyle="1" w:styleId="65">
    <w:name w:val="first-child"/>
    <w:basedOn w:val="25"/>
    <w:qFormat/>
    <w:uiPriority w:val="0"/>
  </w:style>
  <w:style w:type="character" w:customStyle="1" w:styleId="66">
    <w:name w:val="iconline2"/>
    <w:basedOn w:val="25"/>
    <w:qFormat/>
    <w:uiPriority w:val="0"/>
  </w:style>
  <w:style w:type="character" w:customStyle="1" w:styleId="67">
    <w:name w:val="cy"/>
    <w:basedOn w:val="25"/>
    <w:qFormat/>
    <w:uiPriority w:val="0"/>
  </w:style>
  <w:style w:type="character" w:customStyle="1" w:styleId="68">
    <w:name w:val="associateddata"/>
    <w:basedOn w:val="25"/>
    <w:qFormat/>
    <w:uiPriority w:val="0"/>
    <w:rPr>
      <w:shd w:val="clear" w:color="auto" w:fill="50A6F9"/>
    </w:rPr>
  </w:style>
  <w:style w:type="character" w:customStyle="1" w:styleId="69">
    <w:name w:val="w32"/>
    <w:basedOn w:val="25"/>
    <w:qFormat/>
    <w:uiPriority w:val="0"/>
  </w:style>
  <w:style w:type="character" w:customStyle="1" w:styleId="70">
    <w:name w:val="icontext3"/>
    <w:basedOn w:val="25"/>
    <w:qFormat/>
    <w:uiPriority w:val="0"/>
  </w:style>
  <w:style w:type="character" w:customStyle="1" w:styleId="71">
    <w:name w:val="after"/>
    <w:basedOn w:val="25"/>
    <w:qFormat/>
    <w:uiPriority w:val="0"/>
    <w:rPr>
      <w:sz w:val="0"/>
      <w:szCs w:val="0"/>
    </w:rPr>
  </w:style>
  <w:style w:type="character" w:customStyle="1" w:styleId="72">
    <w:name w:val="insertrow"/>
    <w:basedOn w:val="25"/>
    <w:qFormat/>
    <w:uiPriority w:val="0"/>
    <w:rPr>
      <w:color w:val="1F85EC"/>
    </w:rPr>
  </w:style>
  <w:style w:type="character" w:customStyle="1" w:styleId="73">
    <w:name w:val="copyrow"/>
    <w:basedOn w:val="25"/>
    <w:qFormat/>
    <w:uiPriority w:val="0"/>
    <w:rPr>
      <w:color w:val="1F85EC"/>
    </w:rPr>
  </w:style>
  <w:style w:type="character" w:customStyle="1" w:styleId="74">
    <w:name w:val="hilite"/>
    <w:basedOn w:val="25"/>
    <w:qFormat/>
    <w:uiPriority w:val="0"/>
    <w:rPr>
      <w:color w:val="FFFFFF"/>
      <w:shd w:val="clear" w:color="auto" w:fill="666666"/>
    </w:rPr>
  </w:style>
  <w:style w:type="character" w:customStyle="1" w:styleId="75">
    <w:name w:val="tmpztreemove_arrow"/>
    <w:basedOn w:val="25"/>
    <w:qFormat/>
    <w:uiPriority w:val="0"/>
  </w:style>
  <w:style w:type="character" w:customStyle="1" w:styleId="76">
    <w:name w:val="cdropleft"/>
    <w:basedOn w:val="25"/>
    <w:qFormat/>
    <w:uiPriority w:val="0"/>
  </w:style>
  <w:style w:type="character" w:customStyle="1" w:styleId="77">
    <w:name w:val="active8"/>
    <w:basedOn w:val="25"/>
    <w:qFormat/>
    <w:uiPriority w:val="0"/>
    <w:rPr>
      <w:color w:val="00FF00"/>
      <w:shd w:val="clear" w:color="auto" w:fill="111111"/>
    </w:rPr>
  </w:style>
  <w:style w:type="character" w:customStyle="1" w:styleId="78">
    <w:name w:val="active9"/>
    <w:basedOn w:val="25"/>
    <w:qFormat/>
    <w:uiPriority w:val="0"/>
    <w:rPr>
      <w:shd w:val="clear" w:color="auto" w:fill="EC3535"/>
    </w:rPr>
  </w:style>
  <w:style w:type="character" w:customStyle="1" w:styleId="79">
    <w:name w:val="cdropright"/>
    <w:basedOn w:val="25"/>
    <w:qFormat/>
    <w:uiPriority w:val="0"/>
  </w:style>
  <w:style w:type="character" w:customStyle="1" w:styleId="80">
    <w:name w:val="icontext2"/>
    <w:basedOn w:val="25"/>
    <w:qFormat/>
    <w:uiPriority w:val="0"/>
  </w:style>
  <w:style w:type="character" w:customStyle="1" w:styleId="81">
    <w:name w:val="ico1653"/>
    <w:basedOn w:val="25"/>
    <w:qFormat/>
    <w:uiPriority w:val="0"/>
  </w:style>
  <w:style w:type="character" w:customStyle="1" w:styleId="82">
    <w:name w:val="ico1654"/>
    <w:basedOn w:val="25"/>
    <w:qFormat/>
    <w:uiPriority w:val="0"/>
  </w:style>
  <w:style w:type="character" w:customStyle="1" w:styleId="83">
    <w:name w:val="icontext1"/>
    <w:basedOn w:val="25"/>
    <w:qFormat/>
    <w:uiPriority w:val="0"/>
  </w:style>
  <w:style w:type="character" w:customStyle="1" w:styleId="84">
    <w:name w:val="icontext11"/>
    <w:basedOn w:val="25"/>
    <w:qFormat/>
    <w:uiPriority w:val="0"/>
  </w:style>
  <w:style w:type="character" w:customStyle="1" w:styleId="85">
    <w:name w:val="icontext12"/>
    <w:basedOn w:val="25"/>
    <w:qFormat/>
    <w:uiPriority w:val="0"/>
  </w:style>
  <w:style w:type="character" w:customStyle="1" w:styleId="86">
    <w:name w:val="last-child"/>
    <w:basedOn w:val="25"/>
    <w:qFormat/>
    <w:uiPriority w:val="0"/>
  </w:style>
  <w:style w:type="character" w:customStyle="1" w:styleId="87">
    <w:name w:val="moveuprow"/>
    <w:basedOn w:val="25"/>
    <w:qFormat/>
    <w:uiPriority w:val="0"/>
    <w:rPr>
      <w:color w:val="1F85EC"/>
    </w:rPr>
  </w:style>
  <w:style w:type="character" w:customStyle="1" w:styleId="88">
    <w:name w:val="deleterow"/>
    <w:basedOn w:val="25"/>
    <w:qFormat/>
    <w:uiPriority w:val="0"/>
    <w:rPr>
      <w:color w:val="FF5E5E"/>
    </w:rPr>
  </w:style>
  <w:style w:type="character" w:customStyle="1" w:styleId="89">
    <w:name w:val="button4"/>
    <w:basedOn w:val="25"/>
    <w:qFormat/>
    <w:uiPriority w:val="0"/>
  </w:style>
  <w:style w:type="paragraph" w:customStyle="1" w:styleId="90">
    <w:name w:val="无间隔1"/>
    <w:basedOn w:val="1"/>
    <w:qFormat/>
    <w:uiPriority w:val="1"/>
    <w:pPr>
      <w:spacing w:line="400" w:lineRule="exact"/>
    </w:pPr>
    <w:rPr>
      <w:sz w:val="24"/>
    </w:rPr>
  </w:style>
  <w:style w:type="paragraph" w:customStyle="1" w:styleId="91">
    <w:name w:val="*正文风"/>
    <w:basedOn w:val="1"/>
    <w:qFormat/>
    <w:uiPriority w:val="0"/>
    <w:pPr>
      <w:tabs>
        <w:tab w:val="left" w:pos="417"/>
        <w:tab w:val="left" w:pos="1134"/>
      </w:tabs>
      <w:adjustRightInd w:val="0"/>
      <w:spacing w:line="312" w:lineRule="atLeast"/>
      <w:ind w:left="1134" w:hanging="1134"/>
      <w:textAlignment w:val="baseline"/>
    </w:pPr>
    <w:rPr>
      <w:kern w:val="0"/>
      <w:sz w:val="28"/>
      <w:szCs w:val="20"/>
    </w:rPr>
  </w:style>
  <w:style w:type="character" w:customStyle="1" w:styleId="92">
    <w:name w:val="hilite4"/>
    <w:qFormat/>
    <w:uiPriority w:val="0"/>
    <w:rPr>
      <w:color w:val="FFFFFF"/>
      <w:shd w:val="clear" w:color="auto" w:fill="666666"/>
    </w:rPr>
  </w:style>
  <w:style w:type="character" w:customStyle="1" w:styleId="93">
    <w:name w:val="active2"/>
    <w:qFormat/>
    <w:uiPriority w:val="0"/>
    <w:rPr>
      <w:color w:val="00FF00"/>
      <w:shd w:val="clear" w:color="auto" w:fill="111111"/>
    </w:rPr>
  </w:style>
  <w:style w:type="character" w:customStyle="1" w:styleId="94">
    <w:name w:val="active3"/>
    <w:qFormat/>
    <w:uiPriority w:val="0"/>
    <w:rPr>
      <w:shd w:val="clear" w:color="auto" w:fill="EC3535"/>
    </w:rPr>
  </w:style>
  <w:style w:type="character" w:customStyle="1" w:styleId="95">
    <w:name w:val="ico1655"/>
    <w:qFormat/>
    <w:uiPriority w:val="0"/>
  </w:style>
  <w:style w:type="character" w:customStyle="1" w:styleId="96">
    <w:name w:val="ico1656"/>
    <w:qFormat/>
    <w:uiPriority w:val="0"/>
  </w:style>
  <w:style w:type="character" w:customStyle="1" w:styleId="97">
    <w:name w:val="copytolefthover"/>
    <w:qFormat/>
    <w:uiPriority w:val="0"/>
    <w:rPr>
      <w:vanish/>
    </w:rPr>
  </w:style>
  <w:style w:type="character" w:customStyle="1" w:styleId="98">
    <w:name w:val="hover41"/>
    <w:qFormat/>
    <w:uiPriority w:val="0"/>
    <w:rPr>
      <w:color w:val="2490F8"/>
    </w:rPr>
  </w:style>
  <w:style w:type="paragraph" w:customStyle="1" w:styleId="9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00">
    <w:name w:val="Table Normal1"/>
    <w:semiHidden/>
    <w:unhideWhenUsed/>
    <w:qFormat/>
    <w:uiPriority w:val="0"/>
    <w:rPr>
      <w:rFonts w:ascii="Arial" w:hAnsi="Arial" w:cs="Arial"/>
    </w:rPr>
    <w:tblPr>
      <w:tblCellMar>
        <w:top w:w="0" w:type="dxa"/>
        <w:left w:w="0" w:type="dxa"/>
        <w:bottom w:w="0" w:type="dxa"/>
        <w:right w:w="0" w:type="dxa"/>
      </w:tblCellMar>
    </w:tblPr>
  </w:style>
  <w:style w:type="paragraph" w:customStyle="1" w:styleId="101">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102">
    <w:name w:val="正文文本缩进1"/>
    <w:basedOn w:val="1"/>
    <w:qFormat/>
    <w:uiPriority w:val="0"/>
    <w:pPr>
      <w:ind w:firstLine="360"/>
    </w:pPr>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8711</Words>
  <Characters>9328</Characters>
  <Lines>417</Lines>
  <Paragraphs>390</Paragraphs>
  <TotalTime>19</TotalTime>
  <ScaleCrop>false</ScaleCrop>
  <LinksUpToDate>false</LinksUpToDate>
  <CharactersWithSpaces>9699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2026-06-17T01:07:00Z</dcterms:created>
  <dc:creator>Administrator</dc:creator>
  <cp:lastModifiedBy>孙尚香</cp:lastModifiedBy>
  <cp:lastPrinted>2022-12-05T01:22:00Z</cp:lastPrinted>
  <dcterms:modified xsi:type="dcterms:W3CDTF">2026-06-17T05:52:23Z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65A481B3028547F99B9ABF98D3EF9374_13</vt:lpwstr>
  </property>
  <property fmtid="{D5CDD505-2E9C-101B-9397-08002B2CF9AE}" pid="4" name="KSOTemplateDocerSaveRecord">
    <vt:lpwstr>eyJoZGlkIjoiODg3NGExOGJlZjlmZTk5M2NkNGZlYzhmOTU0YWU0M2QiLCJ1c2VySWQiOiI1NzQzNDQzNTgifQ==</vt:lpwstr>
  </property>
</Properties>
</file>