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42510A">
      <w:pPr>
        <w:jc w:val="center"/>
        <w:rPr>
          <w:rFonts w:hint="eastAsia" w:ascii="宋体" w:hAnsi="宋体"/>
        </w:rPr>
      </w:pPr>
    </w:p>
    <w:p w14:paraId="7A7A1934">
      <w:pPr>
        <w:jc w:val="center"/>
        <w:rPr>
          <w:rFonts w:hint="eastAsia" w:ascii="宋体" w:hAnsi="宋体"/>
        </w:rPr>
      </w:pPr>
    </w:p>
    <w:p w14:paraId="6B492508">
      <w:pPr>
        <w:spacing w:line="500" w:lineRule="exact"/>
        <w:ind w:firstLine="0" w:firstLineChars="0"/>
        <w:jc w:val="center"/>
        <w:rPr>
          <w:rFonts w:hint="eastAsia" w:ascii="方正小标宋_GBK" w:hAnsi="宋体" w:eastAsia="方正小标宋_GBK"/>
          <w:sz w:val="36"/>
          <w:szCs w:val="36"/>
        </w:rPr>
      </w:pPr>
      <w:r>
        <w:rPr>
          <w:rFonts w:hint="eastAsia" w:ascii="方正小标宋_GBK" w:hAnsi="宋体" w:eastAsia="方正小标宋_GBK"/>
          <w:sz w:val="36"/>
          <w:szCs w:val="36"/>
        </w:rPr>
        <w:t>项目名称：华岩片区项目秩序选聘三方服务单位</w:t>
      </w:r>
    </w:p>
    <w:p w14:paraId="0CBC52BE">
      <w:pPr>
        <w:spacing w:line="1600" w:lineRule="exact"/>
        <w:ind w:firstLine="2000"/>
        <w:jc w:val="center"/>
        <w:rPr>
          <w:rFonts w:hint="eastAsia" w:ascii="方正黑体_GBK" w:eastAsia="方正黑体_GBK"/>
          <w:sz w:val="100"/>
        </w:rPr>
      </w:pPr>
    </w:p>
    <w:p w14:paraId="46FC5F73">
      <w:pPr>
        <w:spacing w:line="1600" w:lineRule="exact"/>
        <w:ind w:firstLine="0" w:firstLineChars="0"/>
        <w:rPr>
          <w:rFonts w:hint="eastAsia" w:ascii="方正黑体_GBK" w:hAnsi="宋体" w:eastAsia="方正黑体_GBK"/>
          <w:sz w:val="130"/>
          <w:szCs w:val="130"/>
        </w:rPr>
      </w:pPr>
      <w:r>
        <w:rPr>
          <w:rFonts w:hint="eastAsia" w:ascii="方正黑体_GBK" w:hAnsi="宋体" w:eastAsia="方正黑体_GBK"/>
          <w:sz w:val="130"/>
          <w:szCs w:val="130"/>
        </w:rPr>
        <w:t>竞争性比选文件</w:t>
      </w:r>
    </w:p>
    <w:p w14:paraId="48EAB966">
      <w:pPr>
        <w:spacing w:line="700" w:lineRule="exact"/>
        <w:ind w:firstLine="640"/>
        <w:jc w:val="center"/>
        <w:rPr>
          <w:rFonts w:hint="eastAsia" w:ascii="黑体" w:eastAsia="黑体"/>
          <w:sz w:val="32"/>
        </w:rPr>
      </w:pPr>
    </w:p>
    <w:p w14:paraId="1E352380">
      <w:pPr>
        <w:spacing w:line="700" w:lineRule="exact"/>
        <w:ind w:firstLine="640"/>
        <w:jc w:val="center"/>
        <w:rPr>
          <w:rFonts w:hint="eastAsia" w:ascii="黑体" w:eastAsia="黑体"/>
          <w:sz w:val="32"/>
        </w:rPr>
      </w:pPr>
    </w:p>
    <w:p w14:paraId="6D299CA4">
      <w:pPr>
        <w:spacing w:line="500" w:lineRule="exact"/>
        <w:ind w:firstLine="0" w:firstLineChars="0"/>
        <w:jc w:val="center"/>
        <w:rPr>
          <w:rFonts w:hint="eastAsia" w:ascii="方正小标宋_GBK" w:hAnsi="宋体" w:eastAsia="方正小标宋_GBK"/>
          <w:sz w:val="36"/>
          <w:szCs w:val="36"/>
        </w:rPr>
      </w:pPr>
      <w:r>
        <w:rPr>
          <w:rFonts w:hint="eastAsia" w:ascii="方正小标宋_GBK" w:hAnsi="宋体" w:eastAsia="方正小标宋_GBK"/>
          <w:sz w:val="36"/>
          <w:szCs w:val="36"/>
        </w:rPr>
        <w:t>项 目 编 号：CQEM—ZB—2505343</w:t>
      </w:r>
    </w:p>
    <w:p w14:paraId="129C2690">
      <w:pPr>
        <w:spacing w:line="500" w:lineRule="exact"/>
        <w:ind w:firstLine="2340" w:firstLineChars="650"/>
        <w:rPr>
          <w:rFonts w:hint="eastAsia" w:ascii="方正小标宋_GBK" w:hAnsi="宋体" w:eastAsia="方正小标宋_GBK"/>
          <w:sz w:val="36"/>
          <w:szCs w:val="36"/>
        </w:rPr>
      </w:pPr>
    </w:p>
    <w:p w14:paraId="0F49513B">
      <w:pPr>
        <w:spacing w:line="700" w:lineRule="exact"/>
        <w:ind w:firstLine="1749" w:firstLineChars="486"/>
        <w:rPr>
          <w:rFonts w:hint="eastAsia" w:ascii="方正小标宋_GBK" w:hAnsi="宋体" w:eastAsia="方正小标宋_GBK"/>
          <w:sz w:val="36"/>
          <w:szCs w:val="36"/>
        </w:rPr>
      </w:pPr>
    </w:p>
    <w:p w14:paraId="064853E8">
      <w:pPr>
        <w:spacing w:line="700" w:lineRule="exact"/>
        <w:ind w:firstLine="1749" w:firstLineChars="486"/>
        <w:rPr>
          <w:rFonts w:hint="eastAsia" w:ascii="方正小标宋_GBK" w:hAnsi="宋体" w:eastAsia="方正小标宋_GBK"/>
          <w:sz w:val="36"/>
          <w:szCs w:val="36"/>
        </w:rPr>
      </w:pPr>
    </w:p>
    <w:p w14:paraId="67390093">
      <w:pPr>
        <w:spacing w:line="700" w:lineRule="exact"/>
        <w:ind w:firstLine="1749" w:firstLineChars="486"/>
        <w:rPr>
          <w:rFonts w:hint="eastAsia" w:ascii="方正小标宋_GBK" w:hAnsi="宋体" w:eastAsia="方正小标宋_GBK"/>
          <w:sz w:val="36"/>
          <w:szCs w:val="36"/>
        </w:rPr>
      </w:pPr>
    </w:p>
    <w:p w14:paraId="45B43B87">
      <w:pPr>
        <w:spacing w:line="700" w:lineRule="exact"/>
        <w:ind w:firstLine="1749" w:firstLineChars="486"/>
        <w:rPr>
          <w:rFonts w:hint="eastAsia" w:ascii="方正小标宋_GBK" w:hAnsi="宋体" w:eastAsia="方正小标宋_GBK"/>
          <w:sz w:val="36"/>
          <w:szCs w:val="36"/>
        </w:rPr>
      </w:pPr>
    </w:p>
    <w:p w14:paraId="5EB949E4">
      <w:pPr>
        <w:spacing w:line="700" w:lineRule="exact"/>
        <w:ind w:firstLine="723"/>
        <w:jc w:val="center"/>
        <w:rPr>
          <w:rFonts w:hint="eastAsia" w:ascii="方正小标宋_GBK" w:hAnsi="宋体" w:eastAsia="方正小标宋_GBK"/>
          <w:b/>
          <w:sz w:val="36"/>
          <w:szCs w:val="36"/>
        </w:rPr>
      </w:pPr>
    </w:p>
    <w:p w14:paraId="4E9EAE88">
      <w:pPr>
        <w:spacing w:line="500" w:lineRule="exact"/>
        <w:ind w:firstLine="0" w:firstLineChars="0"/>
        <w:jc w:val="center"/>
        <w:rPr>
          <w:rFonts w:hint="eastAsia" w:ascii="方正小标宋_GBK" w:eastAsia="方正小标宋_GBK"/>
          <w:sz w:val="36"/>
          <w:szCs w:val="36"/>
        </w:rPr>
      </w:pPr>
      <w:r>
        <w:rPr>
          <w:rFonts w:hint="eastAsia" w:ascii="方正小标宋_GBK" w:hAnsi="宋体" w:eastAsia="方正小标宋_GBK"/>
          <w:sz w:val="36"/>
          <w:szCs w:val="36"/>
        </w:rPr>
        <w:t>比选</w:t>
      </w:r>
      <w:r>
        <w:rPr>
          <w:rFonts w:hint="eastAsia" w:ascii="方正小标宋_GBK" w:eastAsia="方正小标宋_GBK"/>
          <w:sz w:val="36"/>
          <w:szCs w:val="36"/>
        </w:rPr>
        <w:t>人：重庆瑞盈实业有限公司金瑞智慧生活服务分公司</w:t>
      </w:r>
    </w:p>
    <w:p w14:paraId="465ED521">
      <w:pPr>
        <w:spacing w:line="500" w:lineRule="exact"/>
        <w:ind w:firstLine="0" w:firstLineChars="0"/>
        <w:jc w:val="center"/>
        <w:rPr>
          <w:rFonts w:ascii="方正小标宋_GBK" w:eastAsia="方正小标宋_GBK"/>
          <w:sz w:val="36"/>
          <w:szCs w:val="36"/>
        </w:rPr>
      </w:pPr>
      <w:r>
        <w:rPr>
          <w:rFonts w:hint="eastAsia" w:ascii="方正小标宋_GBK" w:hAnsi="宋体" w:eastAsia="方正小标宋_GBK"/>
          <w:sz w:val="36"/>
          <w:szCs w:val="36"/>
        </w:rPr>
        <w:t>比选</w:t>
      </w:r>
      <w:r>
        <w:rPr>
          <w:rFonts w:hint="eastAsia" w:ascii="方正小标宋_GBK" w:eastAsia="方正小标宋_GBK"/>
          <w:sz w:val="36"/>
          <w:szCs w:val="36"/>
        </w:rPr>
        <w:t>代理机构：重庆市工程管理有限公司</w:t>
      </w:r>
    </w:p>
    <w:p w14:paraId="446F2DE5">
      <w:pPr>
        <w:spacing w:line="500" w:lineRule="exact"/>
        <w:ind w:firstLine="720"/>
        <w:jc w:val="center"/>
        <w:rPr>
          <w:rFonts w:hint="eastAsia" w:ascii="方正小标宋_GBK" w:eastAsia="方正小标宋_GBK"/>
          <w:sz w:val="36"/>
          <w:szCs w:val="36"/>
        </w:rPr>
      </w:pPr>
    </w:p>
    <w:p w14:paraId="6042AFD2">
      <w:pPr>
        <w:spacing w:line="720" w:lineRule="exact"/>
        <w:ind w:firstLine="720"/>
        <w:jc w:val="center"/>
        <w:rPr>
          <w:rFonts w:hint="eastAsia" w:ascii="方正黑体_GBK" w:hAnsi="宋体" w:eastAsia="方正黑体_GBK"/>
          <w:sz w:val="48"/>
          <w:szCs w:val="32"/>
        </w:rPr>
      </w:pPr>
      <w:r>
        <w:rPr>
          <w:rFonts w:hint="eastAsia" w:ascii="方正小标宋_GBK" w:hAnsi="宋体" w:eastAsia="方正小标宋_GBK"/>
          <w:sz w:val="36"/>
          <w:szCs w:val="36"/>
        </w:rPr>
        <w:t>二〇二</w:t>
      </w:r>
      <w:r>
        <w:rPr>
          <w:rFonts w:hint="eastAsia" w:ascii="方正小标宋_GBK" w:hAnsi="宋体" w:eastAsia="方正小标宋_GBK"/>
          <w:sz w:val="36"/>
          <w:szCs w:val="36"/>
          <w:lang w:val="en-US" w:eastAsia="zh-CN"/>
        </w:rPr>
        <w:t>六</w:t>
      </w:r>
      <w:r>
        <w:rPr>
          <w:rFonts w:hint="eastAsia" w:ascii="方正小标宋_GBK" w:hAnsi="宋体" w:eastAsia="方正小标宋_GBK"/>
          <w:sz w:val="36"/>
          <w:szCs w:val="36"/>
        </w:rPr>
        <w:t>年</w:t>
      </w:r>
      <w:r>
        <w:rPr>
          <w:rFonts w:hint="eastAsia" w:ascii="方正小标宋_GBK" w:hAnsi="宋体" w:eastAsia="方正小标宋_GBK"/>
          <w:sz w:val="36"/>
          <w:szCs w:val="36"/>
          <w:lang w:val="en-US" w:eastAsia="zh-CN"/>
        </w:rPr>
        <w:t>一</w:t>
      </w:r>
      <w:r>
        <w:rPr>
          <w:rFonts w:hint="eastAsia" w:ascii="方正小标宋_GBK" w:hAnsi="宋体" w:eastAsia="方正小标宋_GBK"/>
          <w:sz w:val="36"/>
          <w:szCs w:val="36"/>
        </w:rPr>
        <w:t>月</w:t>
      </w:r>
    </w:p>
    <w:p w14:paraId="10C03135">
      <w:pPr>
        <w:spacing w:line="720" w:lineRule="exact"/>
        <w:ind w:firstLine="960"/>
        <w:jc w:val="center"/>
        <w:outlineLvl w:val="0"/>
        <w:rPr>
          <w:rFonts w:ascii="方正黑体_GBK" w:hAnsi="宋体" w:eastAsia="方正黑体_GBK"/>
          <w:sz w:val="48"/>
          <w:szCs w:val="32"/>
        </w:rPr>
        <w:sectPr>
          <w:headerReference r:id="rId6" w:type="first"/>
          <w:footerReference r:id="rId9" w:type="first"/>
          <w:headerReference r:id="rId5" w:type="default"/>
          <w:footerReference r:id="rId7" w:type="default"/>
          <w:footerReference r:id="rId8" w:type="even"/>
          <w:pgSz w:w="11907" w:h="16840"/>
          <w:pgMar w:top="1134" w:right="1191" w:bottom="1134" w:left="1304" w:header="851" w:footer="992" w:gutter="0"/>
          <w:pgBorders>
            <w:top w:val="none" w:sz="0" w:space="0"/>
            <w:left w:val="none" w:sz="0" w:space="0"/>
            <w:bottom w:val="none" w:sz="0" w:space="0"/>
            <w:right w:val="none" w:sz="0" w:space="0"/>
          </w:pgBorders>
          <w:pgNumType w:fmt="numberInDash" w:start="1"/>
          <w:cols w:space="720" w:num="1"/>
          <w:titlePg/>
          <w:docGrid w:linePitch="381" w:charSpace="-5735"/>
        </w:sectPr>
      </w:pPr>
    </w:p>
    <w:p w14:paraId="70C2E7C4">
      <w:pPr>
        <w:spacing w:line="480" w:lineRule="exact"/>
        <w:ind w:firstLine="880"/>
        <w:jc w:val="center"/>
        <w:outlineLvl w:val="0"/>
        <w:rPr>
          <w:rFonts w:hint="eastAsia" w:ascii="方正黑体_GBK" w:eastAsia="方正黑体_GBK"/>
          <w:sz w:val="44"/>
          <w:szCs w:val="28"/>
        </w:rPr>
      </w:pPr>
      <w:r>
        <w:rPr>
          <w:rFonts w:hint="eastAsia" w:ascii="方正黑体_GBK" w:eastAsia="方正黑体_GBK"/>
          <w:sz w:val="44"/>
          <w:szCs w:val="28"/>
        </w:rPr>
        <w:t>目   录</w:t>
      </w:r>
    </w:p>
    <w:p w14:paraId="72D5544C">
      <w:pPr>
        <w:pStyle w:val="46"/>
        <w:tabs>
          <w:tab w:val="right" w:leader="dot" w:pos="9412"/>
        </w:tabs>
        <w:ind w:left="480" w:firstLine="420"/>
      </w:pPr>
      <w:r>
        <w:rPr>
          <w:rFonts w:hint="eastAsia" w:ascii="方正仿宋_GBK" w:hAnsi="宋体"/>
          <w:sz w:val="21"/>
          <w:szCs w:val="21"/>
        </w:rPr>
        <w:fldChar w:fldCharType="begin"/>
      </w:r>
      <w:r>
        <w:rPr>
          <w:rFonts w:hint="eastAsia" w:ascii="方正仿宋_GBK" w:hAnsi="宋体"/>
          <w:sz w:val="21"/>
          <w:szCs w:val="21"/>
        </w:rPr>
        <w:instrText xml:space="preserve"> TOC \o "1-3" \h \z </w:instrText>
      </w:r>
      <w:r>
        <w:rPr>
          <w:rFonts w:hint="eastAsia" w:ascii="方正仿宋_GBK" w:hAnsi="宋体"/>
          <w:sz w:val="21"/>
          <w:szCs w:val="21"/>
        </w:rPr>
        <w:fldChar w:fldCharType="separate"/>
      </w:r>
      <w:r>
        <w:rPr>
          <w:rFonts w:hint="eastAsia" w:ascii="方正仿宋_GBK" w:hAnsi="宋体"/>
          <w:szCs w:val="21"/>
        </w:rPr>
        <w:fldChar w:fldCharType="begin"/>
      </w:r>
      <w:r>
        <w:rPr>
          <w:rFonts w:hint="eastAsia" w:ascii="方正仿宋_GBK" w:hAnsi="宋体"/>
          <w:szCs w:val="21"/>
        </w:rPr>
        <w:instrText xml:space="preserve"> HYPERLINK \l _Toc31914 </w:instrText>
      </w:r>
      <w:r>
        <w:rPr>
          <w:rFonts w:hint="eastAsia" w:ascii="方正仿宋_GBK" w:hAnsi="宋体"/>
          <w:szCs w:val="21"/>
        </w:rPr>
        <w:fldChar w:fldCharType="separate"/>
      </w:r>
      <w:r>
        <w:rPr>
          <w:rFonts w:hint="eastAsia" w:ascii="方正小标宋_GBK" w:hAnsi="宋体" w:eastAsia="方正小标宋_GBK"/>
          <w:szCs w:val="30"/>
        </w:rPr>
        <w:t>第一篇  比选公告</w:t>
      </w:r>
      <w:r>
        <w:tab/>
      </w:r>
      <w:r>
        <w:fldChar w:fldCharType="begin"/>
      </w:r>
      <w:r>
        <w:instrText xml:space="preserve"> PAGEREF _Toc31914 \h </w:instrText>
      </w:r>
      <w:r>
        <w:fldChar w:fldCharType="separate"/>
      </w:r>
      <w:r>
        <w:t>- 2 -</w:t>
      </w:r>
      <w:r>
        <w:fldChar w:fldCharType="end"/>
      </w:r>
      <w:r>
        <w:rPr>
          <w:rFonts w:hint="eastAsia" w:ascii="方正仿宋_GBK" w:hAnsi="宋体"/>
          <w:szCs w:val="21"/>
        </w:rPr>
        <w:fldChar w:fldCharType="end"/>
      </w:r>
    </w:p>
    <w:p w14:paraId="65C85622">
      <w:pPr>
        <w:pStyle w:val="46"/>
        <w:tabs>
          <w:tab w:val="right" w:leader="dot" w:pos="9412"/>
        </w:tabs>
        <w:ind w:left="480"/>
      </w:pPr>
    </w:p>
    <w:p w14:paraId="31963F6B">
      <w:pPr>
        <w:pStyle w:val="46"/>
        <w:tabs>
          <w:tab w:val="right" w:leader="dot" w:pos="9412"/>
        </w:tabs>
        <w:ind w:left="480"/>
      </w:pPr>
      <w:r>
        <w:rPr>
          <w:rFonts w:hint="eastAsia" w:ascii="方正仿宋_GBK" w:hAnsi="宋体"/>
          <w:szCs w:val="21"/>
        </w:rPr>
        <w:fldChar w:fldCharType="begin"/>
      </w:r>
      <w:r>
        <w:rPr>
          <w:rFonts w:hint="eastAsia" w:ascii="方正仿宋_GBK" w:hAnsi="宋体"/>
          <w:szCs w:val="21"/>
        </w:rPr>
        <w:instrText xml:space="preserve"> HYPERLINK \l _Toc4332 </w:instrText>
      </w:r>
      <w:r>
        <w:rPr>
          <w:rFonts w:hint="eastAsia" w:ascii="方正仿宋_GBK" w:hAnsi="宋体"/>
          <w:szCs w:val="21"/>
        </w:rPr>
        <w:fldChar w:fldCharType="separate"/>
      </w:r>
      <w:r>
        <w:rPr>
          <w:rFonts w:hint="eastAsia" w:ascii="方正小标宋_GBK" w:hAnsi="宋体" w:eastAsia="方正小标宋_GBK"/>
          <w:szCs w:val="30"/>
        </w:rPr>
        <w:t>第二篇  项目服务需求</w:t>
      </w:r>
      <w:r>
        <w:tab/>
      </w:r>
      <w:r>
        <w:fldChar w:fldCharType="begin"/>
      </w:r>
      <w:r>
        <w:instrText xml:space="preserve"> PAGEREF _Toc4332 \h </w:instrText>
      </w:r>
      <w:r>
        <w:fldChar w:fldCharType="separate"/>
      </w:r>
      <w:r>
        <w:t>- 5 -</w:t>
      </w:r>
      <w:r>
        <w:fldChar w:fldCharType="end"/>
      </w:r>
      <w:r>
        <w:rPr>
          <w:rFonts w:hint="eastAsia" w:ascii="方正仿宋_GBK" w:hAnsi="宋体"/>
          <w:szCs w:val="21"/>
        </w:rPr>
        <w:fldChar w:fldCharType="end"/>
      </w:r>
    </w:p>
    <w:p w14:paraId="53B1DAF8">
      <w:pPr>
        <w:pStyle w:val="46"/>
        <w:tabs>
          <w:tab w:val="right" w:leader="dot" w:pos="9412"/>
        </w:tabs>
        <w:ind w:left="480"/>
      </w:pPr>
    </w:p>
    <w:p w14:paraId="316C539A">
      <w:pPr>
        <w:pStyle w:val="46"/>
        <w:tabs>
          <w:tab w:val="right" w:leader="dot" w:pos="9412"/>
        </w:tabs>
        <w:ind w:left="480"/>
      </w:pPr>
      <w:r>
        <w:rPr>
          <w:rFonts w:hint="eastAsia" w:ascii="方正仿宋_GBK" w:hAnsi="宋体"/>
          <w:szCs w:val="21"/>
        </w:rPr>
        <w:fldChar w:fldCharType="begin"/>
      </w:r>
      <w:r>
        <w:rPr>
          <w:rFonts w:hint="eastAsia" w:ascii="方正仿宋_GBK" w:hAnsi="宋体"/>
          <w:szCs w:val="21"/>
        </w:rPr>
        <w:instrText xml:space="preserve"> HYPERLINK \l _Toc20493 </w:instrText>
      </w:r>
      <w:r>
        <w:rPr>
          <w:rFonts w:hint="eastAsia" w:ascii="方正仿宋_GBK" w:hAnsi="宋体"/>
          <w:szCs w:val="21"/>
        </w:rPr>
        <w:fldChar w:fldCharType="separate"/>
      </w:r>
      <w:r>
        <w:rPr>
          <w:rFonts w:hint="eastAsia" w:ascii="方正小标宋_GBK" w:hAnsi="宋体" w:eastAsia="方正小标宋_GBK"/>
          <w:szCs w:val="30"/>
        </w:rPr>
        <w:t>第三篇  项目商务需求</w:t>
      </w:r>
      <w:r>
        <w:tab/>
      </w:r>
      <w:r>
        <w:fldChar w:fldCharType="begin"/>
      </w:r>
      <w:r>
        <w:instrText xml:space="preserve"> PAGEREF _Toc20493 \h </w:instrText>
      </w:r>
      <w:r>
        <w:fldChar w:fldCharType="separate"/>
      </w:r>
      <w:r>
        <w:t>- 19 -</w:t>
      </w:r>
      <w:r>
        <w:fldChar w:fldCharType="end"/>
      </w:r>
      <w:r>
        <w:rPr>
          <w:rFonts w:hint="eastAsia" w:ascii="方正仿宋_GBK" w:hAnsi="宋体"/>
          <w:szCs w:val="21"/>
        </w:rPr>
        <w:fldChar w:fldCharType="end"/>
      </w:r>
    </w:p>
    <w:p w14:paraId="58AF2BF6">
      <w:pPr>
        <w:pStyle w:val="46"/>
        <w:tabs>
          <w:tab w:val="right" w:leader="dot" w:pos="9412"/>
        </w:tabs>
        <w:ind w:left="480"/>
      </w:pPr>
    </w:p>
    <w:p w14:paraId="108B6749">
      <w:pPr>
        <w:pStyle w:val="46"/>
        <w:tabs>
          <w:tab w:val="right" w:leader="dot" w:pos="9412"/>
        </w:tabs>
        <w:ind w:left="480"/>
      </w:pPr>
      <w:r>
        <w:rPr>
          <w:rFonts w:hint="eastAsia" w:ascii="方正仿宋_GBK" w:hAnsi="宋体"/>
          <w:szCs w:val="21"/>
        </w:rPr>
        <w:fldChar w:fldCharType="begin"/>
      </w:r>
      <w:r>
        <w:rPr>
          <w:rFonts w:hint="eastAsia" w:ascii="方正仿宋_GBK" w:hAnsi="宋体"/>
          <w:szCs w:val="21"/>
        </w:rPr>
        <w:instrText xml:space="preserve"> HYPERLINK \l _Toc30137 </w:instrText>
      </w:r>
      <w:r>
        <w:rPr>
          <w:rFonts w:hint="eastAsia" w:ascii="方正仿宋_GBK" w:hAnsi="宋体"/>
          <w:szCs w:val="21"/>
        </w:rPr>
        <w:fldChar w:fldCharType="separate"/>
      </w:r>
      <w:r>
        <w:rPr>
          <w:rFonts w:hint="eastAsia" w:ascii="方正小标宋_GBK" w:hAnsi="宋体" w:eastAsia="方正小标宋_GBK"/>
          <w:szCs w:val="30"/>
        </w:rPr>
        <w:t>第四篇  比选程序及方法、评审标准、无效响应和</w:t>
      </w:r>
      <w:r>
        <w:rPr>
          <w:rFonts w:hint="eastAsia" w:ascii="方正小标宋_GBK" w:eastAsia="方正小标宋_GBK"/>
          <w:szCs w:val="36"/>
        </w:rPr>
        <w:t>采购终止</w:t>
      </w:r>
      <w:r>
        <w:tab/>
      </w:r>
      <w:r>
        <w:fldChar w:fldCharType="begin"/>
      </w:r>
      <w:r>
        <w:instrText xml:space="preserve"> PAGEREF _Toc30137 \h </w:instrText>
      </w:r>
      <w:r>
        <w:fldChar w:fldCharType="separate"/>
      </w:r>
      <w:r>
        <w:t>- 21 -</w:t>
      </w:r>
      <w:r>
        <w:fldChar w:fldCharType="end"/>
      </w:r>
      <w:r>
        <w:rPr>
          <w:rFonts w:hint="eastAsia" w:ascii="方正仿宋_GBK" w:hAnsi="宋体"/>
          <w:szCs w:val="21"/>
        </w:rPr>
        <w:fldChar w:fldCharType="end"/>
      </w:r>
    </w:p>
    <w:p w14:paraId="299FDD05">
      <w:pPr>
        <w:pStyle w:val="46"/>
        <w:tabs>
          <w:tab w:val="right" w:leader="dot" w:pos="9412"/>
        </w:tabs>
        <w:ind w:left="480"/>
      </w:pPr>
    </w:p>
    <w:p w14:paraId="2C9ECAA5">
      <w:pPr>
        <w:pStyle w:val="46"/>
        <w:tabs>
          <w:tab w:val="right" w:leader="dot" w:pos="9412"/>
        </w:tabs>
        <w:ind w:left="480"/>
      </w:pPr>
      <w:r>
        <w:rPr>
          <w:rFonts w:hint="eastAsia" w:ascii="方正仿宋_GBK" w:hAnsi="宋体"/>
          <w:szCs w:val="21"/>
        </w:rPr>
        <w:fldChar w:fldCharType="begin"/>
      </w:r>
      <w:r>
        <w:rPr>
          <w:rFonts w:hint="eastAsia" w:ascii="方正仿宋_GBK" w:hAnsi="宋体"/>
          <w:szCs w:val="21"/>
        </w:rPr>
        <w:instrText xml:space="preserve"> HYPERLINK \l _Toc24951 </w:instrText>
      </w:r>
      <w:r>
        <w:rPr>
          <w:rFonts w:hint="eastAsia" w:ascii="方正仿宋_GBK" w:hAnsi="宋体"/>
          <w:szCs w:val="21"/>
        </w:rPr>
        <w:fldChar w:fldCharType="separate"/>
      </w:r>
      <w:r>
        <w:rPr>
          <w:rFonts w:hint="eastAsia" w:ascii="方正小标宋_GBK" w:hAnsi="宋体" w:eastAsia="方正小标宋_GBK"/>
          <w:bCs/>
          <w:szCs w:val="30"/>
        </w:rPr>
        <w:t>第五篇  竞选人须知</w:t>
      </w:r>
      <w:r>
        <w:tab/>
      </w:r>
      <w:r>
        <w:fldChar w:fldCharType="begin"/>
      </w:r>
      <w:r>
        <w:instrText xml:space="preserve"> PAGEREF _Toc24951 \h </w:instrText>
      </w:r>
      <w:r>
        <w:fldChar w:fldCharType="separate"/>
      </w:r>
      <w:r>
        <w:t>- 26 -</w:t>
      </w:r>
      <w:r>
        <w:fldChar w:fldCharType="end"/>
      </w:r>
      <w:r>
        <w:rPr>
          <w:rFonts w:hint="eastAsia" w:ascii="方正仿宋_GBK" w:hAnsi="宋体"/>
          <w:szCs w:val="21"/>
        </w:rPr>
        <w:fldChar w:fldCharType="end"/>
      </w:r>
    </w:p>
    <w:p w14:paraId="0D965EEE">
      <w:pPr>
        <w:pStyle w:val="46"/>
        <w:tabs>
          <w:tab w:val="right" w:leader="dot" w:pos="9412"/>
        </w:tabs>
        <w:ind w:left="480"/>
      </w:pPr>
    </w:p>
    <w:p w14:paraId="51BC8C76">
      <w:pPr>
        <w:pStyle w:val="46"/>
        <w:tabs>
          <w:tab w:val="right" w:leader="dot" w:pos="9412"/>
        </w:tabs>
        <w:ind w:left="480"/>
      </w:pPr>
      <w:r>
        <w:rPr>
          <w:rFonts w:hint="eastAsia" w:ascii="方正仿宋_GBK" w:hAnsi="宋体"/>
          <w:szCs w:val="21"/>
        </w:rPr>
        <w:fldChar w:fldCharType="begin"/>
      </w:r>
      <w:r>
        <w:rPr>
          <w:rFonts w:hint="eastAsia" w:ascii="方正仿宋_GBK" w:hAnsi="宋体"/>
          <w:szCs w:val="21"/>
        </w:rPr>
        <w:instrText xml:space="preserve"> HYPERLINK \l _Toc22875 </w:instrText>
      </w:r>
      <w:r>
        <w:rPr>
          <w:rFonts w:hint="eastAsia" w:ascii="方正仿宋_GBK" w:hAnsi="宋体"/>
          <w:szCs w:val="21"/>
        </w:rPr>
        <w:fldChar w:fldCharType="separate"/>
      </w:r>
      <w:r>
        <w:rPr>
          <w:rFonts w:hint="eastAsia" w:ascii="方正小标宋_GBK" w:hAnsi="宋体" w:eastAsia="方正小标宋_GBK"/>
          <w:szCs w:val="30"/>
        </w:rPr>
        <w:t>第六篇  采购合同</w:t>
      </w:r>
      <w:r>
        <w:tab/>
      </w:r>
      <w:r>
        <w:fldChar w:fldCharType="begin"/>
      </w:r>
      <w:r>
        <w:instrText xml:space="preserve"> PAGEREF _Toc22875 \h </w:instrText>
      </w:r>
      <w:r>
        <w:fldChar w:fldCharType="separate"/>
      </w:r>
      <w:r>
        <w:t>- 31 -</w:t>
      </w:r>
      <w:r>
        <w:fldChar w:fldCharType="end"/>
      </w:r>
      <w:r>
        <w:rPr>
          <w:rFonts w:hint="eastAsia" w:ascii="方正仿宋_GBK" w:hAnsi="宋体"/>
          <w:szCs w:val="21"/>
        </w:rPr>
        <w:fldChar w:fldCharType="end"/>
      </w:r>
    </w:p>
    <w:p w14:paraId="7BC9B8DA">
      <w:pPr>
        <w:pStyle w:val="46"/>
        <w:tabs>
          <w:tab w:val="right" w:leader="dot" w:pos="9412"/>
        </w:tabs>
        <w:ind w:left="480"/>
        <w:rPr>
          <w:rFonts w:hint="eastAsia" w:ascii="方正仿宋_GBK" w:hAnsi="宋体"/>
          <w:szCs w:val="21"/>
        </w:rPr>
      </w:pPr>
    </w:p>
    <w:p w14:paraId="40BDF693">
      <w:pPr>
        <w:pStyle w:val="46"/>
        <w:tabs>
          <w:tab w:val="right" w:leader="dot" w:pos="9412"/>
        </w:tabs>
        <w:ind w:left="480"/>
      </w:pPr>
      <w:r>
        <w:rPr>
          <w:rFonts w:hint="eastAsia" w:ascii="方正仿宋_GBK" w:hAnsi="宋体"/>
          <w:szCs w:val="21"/>
        </w:rPr>
        <w:fldChar w:fldCharType="begin"/>
      </w:r>
      <w:r>
        <w:rPr>
          <w:rFonts w:hint="eastAsia" w:ascii="方正仿宋_GBK" w:hAnsi="宋体"/>
          <w:szCs w:val="21"/>
        </w:rPr>
        <w:instrText xml:space="preserve"> HYPERLINK \l _Toc27214 </w:instrText>
      </w:r>
      <w:r>
        <w:rPr>
          <w:rFonts w:hint="eastAsia" w:ascii="方正仿宋_GBK" w:hAnsi="宋体"/>
          <w:szCs w:val="21"/>
        </w:rPr>
        <w:fldChar w:fldCharType="separate"/>
      </w:r>
      <w:r>
        <w:rPr>
          <w:rFonts w:hint="eastAsia" w:ascii="方正小标宋_GBK" w:hAnsi="宋体" w:eastAsia="方正小标宋_GBK"/>
          <w:szCs w:val="30"/>
        </w:rPr>
        <w:t>第七篇  竞选文件编制要求</w:t>
      </w:r>
      <w:r>
        <w:tab/>
      </w:r>
      <w:r>
        <w:fldChar w:fldCharType="begin"/>
      </w:r>
      <w:r>
        <w:instrText xml:space="preserve"> PAGEREF _Toc27214 \h </w:instrText>
      </w:r>
      <w:r>
        <w:fldChar w:fldCharType="separate"/>
      </w:r>
      <w:r>
        <w:t>- 31 -</w:t>
      </w:r>
      <w:r>
        <w:fldChar w:fldCharType="end"/>
      </w:r>
      <w:r>
        <w:rPr>
          <w:rFonts w:hint="eastAsia" w:ascii="方正仿宋_GBK" w:hAnsi="宋体"/>
          <w:szCs w:val="21"/>
        </w:rPr>
        <w:fldChar w:fldCharType="end"/>
      </w:r>
    </w:p>
    <w:p w14:paraId="2A7FA2B8">
      <w:pPr>
        <w:pStyle w:val="46"/>
        <w:tabs>
          <w:tab w:val="right" w:leader="dot" w:pos="9402"/>
        </w:tabs>
        <w:spacing w:line="480" w:lineRule="exact"/>
        <w:ind w:left="480"/>
        <w:jc w:val="center"/>
        <w:rPr>
          <w:rFonts w:ascii="方正仿宋_GBK" w:hAnsi="Calibri"/>
          <w:sz w:val="18"/>
          <w:szCs w:val="22"/>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start="1"/>
          <w:cols w:space="720" w:num="1"/>
          <w:docGrid w:linePitch="381" w:charSpace="-5735"/>
        </w:sectPr>
      </w:pPr>
      <w:r>
        <w:rPr>
          <w:rFonts w:hint="eastAsia" w:ascii="方正仿宋_GBK" w:hAnsi="宋体"/>
          <w:szCs w:val="21"/>
        </w:rPr>
        <w:fldChar w:fldCharType="end"/>
      </w:r>
    </w:p>
    <w:p w14:paraId="38AEEC0C">
      <w:pPr>
        <w:pStyle w:val="3"/>
        <w:spacing w:line="360" w:lineRule="auto"/>
        <w:ind w:firstLine="0" w:firstLineChars="0"/>
        <w:jc w:val="center"/>
        <w:rPr>
          <w:rFonts w:hint="eastAsia" w:ascii="方正小标宋_GBK" w:hAnsi="宋体" w:eastAsia="方正小标宋_GBK"/>
          <w:b w:val="0"/>
          <w:szCs w:val="30"/>
        </w:rPr>
      </w:pPr>
      <w:bookmarkStart w:id="0" w:name="_Toc76462316"/>
      <w:bookmarkStart w:id="1" w:name="_Toc12789052"/>
      <w:bookmarkStart w:id="2" w:name="_Toc11641050"/>
      <w:bookmarkStart w:id="3" w:name="_Toc31914"/>
      <w:r>
        <w:rPr>
          <w:rFonts w:hint="eastAsia" w:ascii="方正小标宋_GBK" w:hAnsi="宋体" w:eastAsia="方正小标宋_GBK"/>
          <w:b w:val="0"/>
          <w:sz w:val="36"/>
          <w:szCs w:val="30"/>
        </w:rPr>
        <w:t>第一篇  比选</w:t>
      </w:r>
      <w:bookmarkEnd w:id="0"/>
      <w:bookmarkEnd w:id="1"/>
      <w:bookmarkEnd w:id="2"/>
      <w:r>
        <w:rPr>
          <w:rFonts w:hint="eastAsia" w:ascii="方正小标宋_GBK" w:hAnsi="宋体" w:eastAsia="方正小标宋_GBK"/>
          <w:b w:val="0"/>
          <w:sz w:val="36"/>
          <w:szCs w:val="30"/>
        </w:rPr>
        <w:t>公告</w:t>
      </w:r>
      <w:bookmarkEnd w:id="3"/>
    </w:p>
    <w:p w14:paraId="69AC2351">
      <w:pPr>
        <w:rPr>
          <w:rFonts w:hint="eastAsia" w:ascii="方正仿宋_GBK" w:hAnsi="宋体"/>
        </w:rPr>
      </w:pPr>
      <w:r>
        <w:rPr>
          <w:rFonts w:hint="eastAsia" w:ascii="方正仿宋_GBK" w:hAnsi="宋体"/>
        </w:rPr>
        <w:t>重庆市工程管理有限公司（以下简称：比选代理机构）接受重庆瑞盈实业有限公司金瑞智慧生活服务分公司（以下简称：比选人）的委托，对华岩片区项目秩序选聘三方服务单位进行竞争性比选采购。欢迎有资格的竞选人前来参与比选。</w:t>
      </w:r>
      <w:bookmarkStart w:id="4" w:name="_Toc76462317"/>
      <w:bookmarkStart w:id="5" w:name="_Toc317775175"/>
      <w:bookmarkStart w:id="6" w:name="_Toc29785"/>
      <w:bookmarkStart w:id="7" w:name="_Toc313893526"/>
    </w:p>
    <w:p w14:paraId="280F0034">
      <w:pPr>
        <w:pStyle w:val="3"/>
        <w:adjustRightInd w:val="0"/>
        <w:spacing w:before="0" w:after="0" w:line="400" w:lineRule="exact"/>
        <w:ind w:firstLine="482"/>
        <w:rPr>
          <w:rFonts w:hint="eastAsia" w:ascii="方正仿宋_GBK" w:hAnsi="宋体" w:eastAsia="方正仿宋_GBK"/>
          <w:sz w:val="24"/>
        </w:rPr>
      </w:pPr>
      <w:r>
        <w:rPr>
          <w:rFonts w:hint="eastAsia" w:ascii="方正仿宋_GBK" w:hAnsi="宋体" w:eastAsia="方正仿宋_GBK"/>
          <w:sz w:val="24"/>
        </w:rPr>
        <w:t>一、</w:t>
      </w:r>
      <w:bookmarkEnd w:id="4"/>
      <w:bookmarkEnd w:id="5"/>
      <w:bookmarkEnd w:id="6"/>
      <w:bookmarkEnd w:id="7"/>
      <w:r>
        <w:rPr>
          <w:rFonts w:hint="eastAsia" w:ascii="方正仿宋_GBK" w:hAnsi="宋体" w:eastAsia="方正仿宋_GBK"/>
          <w:sz w:val="24"/>
        </w:rPr>
        <w:t>比选范围及要求</w:t>
      </w:r>
    </w:p>
    <w:tbl>
      <w:tblPr>
        <w:tblStyle w:val="58"/>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2419"/>
        <w:gridCol w:w="2595"/>
        <w:gridCol w:w="2177"/>
      </w:tblGrid>
      <w:tr w14:paraId="5462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969" w:type="dxa"/>
            <w:tcBorders>
              <w:top w:val="single" w:color="auto" w:sz="4" w:space="0"/>
              <w:left w:val="single" w:color="auto" w:sz="4" w:space="0"/>
              <w:right w:val="single" w:color="auto" w:sz="4" w:space="0"/>
            </w:tcBorders>
            <w:noWrap w:val="0"/>
            <w:vAlign w:val="center"/>
          </w:tcPr>
          <w:p w14:paraId="3F397FE9">
            <w:pPr>
              <w:widowControl/>
              <w:ind w:firstLine="0" w:firstLineChars="0"/>
              <w:jc w:val="center"/>
              <w:rPr>
                <w:rFonts w:hint="eastAsia" w:ascii="方正仿宋_GBK" w:hAnsi="宋体" w:cs="宋体"/>
                <w:b/>
                <w:bCs/>
                <w:kern w:val="0"/>
                <w:sz w:val="21"/>
              </w:rPr>
            </w:pPr>
            <w:bookmarkStart w:id="8" w:name="_Toc14519"/>
            <w:bookmarkStart w:id="9" w:name="_Toc76462318"/>
            <w:bookmarkStart w:id="10" w:name="_Toc373860293"/>
            <w:bookmarkStart w:id="11" w:name="_Toc317775178"/>
            <w:r>
              <w:rPr>
                <w:rFonts w:hint="eastAsia" w:ascii="方正仿宋_GBK" w:hAnsi="宋体" w:cs="宋体"/>
                <w:b/>
                <w:bCs/>
                <w:kern w:val="0"/>
                <w:sz w:val="21"/>
              </w:rPr>
              <w:t>名称</w:t>
            </w:r>
          </w:p>
        </w:tc>
        <w:tc>
          <w:tcPr>
            <w:tcW w:w="2419" w:type="dxa"/>
            <w:tcBorders>
              <w:top w:val="single" w:color="auto" w:sz="4" w:space="0"/>
              <w:left w:val="single" w:color="auto" w:sz="4" w:space="0"/>
              <w:right w:val="single" w:color="auto" w:sz="4" w:space="0"/>
            </w:tcBorders>
            <w:noWrap w:val="0"/>
            <w:vAlign w:val="center"/>
          </w:tcPr>
          <w:p w14:paraId="5B9D8A4D">
            <w:pPr>
              <w:ind w:firstLine="0" w:firstLineChars="0"/>
              <w:jc w:val="center"/>
              <w:rPr>
                <w:rFonts w:hint="eastAsia" w:ascii="方正仿宋_GBK" w:hAnsi="宋体" w:cs="宋体"/>
                <w:b/>
                <w:bCs/>
                <w:kern w:val="0"/>
                <w:sz w:val="21"/>
              </w:rPr>
            </w:pPr>
            <w:r>
              <w:rPr>
                <w:rFonts w:hint="eastAsia" w:ascii="方正仿宋_GBK" w:hAnsi="宋体" w:cs="宋体"/>
                <w:b/>
                <w:bCs/>
                <w:kern w:val="0"/>
                <w:sz w:val="21"/>
              </w:rPr>
              <w:t>最高限价</w:t>
            </w:r>
          </w:p>
        </w:tc>
        <w:tc>
          <w:tcPr>
            <w:tcW w:w="2595" w:type="dxa"/>
            <w:tcBorders>
              <w:top w:val="single" w:color="auto" w:sz="4" w:space="0"/>
              <w:left w:val="single" w:color="auto" w:sz="4" w:space="0"/>
              <w:right w:val="single" w:color="auto" w:sz="4" w:space="0"/>
            </w:tcBorders>
            <w:noWrap w:val="0"/>
            <w:vAlign w:val="center"/>
          </w:tcPr>
          <w:p w14:paraId="40EE2CBD">
            <w:pPr>
              <w:ind w:firstLine="0" w:firstLineChars="0"/>
              <w:jc w:val="center"/>
              <w:rPr>
                <w:rFonts w:hint="eastAsia" w:ascii="方正仿宋_GBK" w:hAnsi="宋体" w:cs="宋体"/>
                <w:b/>
                <w:bCs/>
                <w:kern w:val="0"/>
                <w:sz w:val="21"/>
              </w:rPr>
            </w:pPr>
            <w:r>
              <w:rPr>
                <w:rFonts w:hint="eastAsia" w:ascii="方正仿宋_GBK" w:hAnsi="宋体" w:cs="宋体"/>
                <w:b/>
                <w:bCs/>
                <w:kern w:val="0"/>
                <w:sz w:val="21"/>
              </w:rPr>
              <w:t>服务期</w:t>
            </w:r>
          </w:p>
        </w:tc>
        <w:tc>
          <w:tcPr>
            <w:tcW w:w="2177" w:type="dxa"/>
            <w:tcBorders>
              <w:top w:val="single" w:color="auto" w:sz="4" w:space="0"/>
              <w:left w:val="single" w:color="auto" w:sz="4" w:space="0"/>
              <w:right w:val="single" w:color="auto" w:sz="4" w:space="0"/>
            </w:tcBorders>
            <w:noWrap w:val="0"/>
            <w:vAlign w:val="center"/>
          </w:tcPr>
          <w:p w14:paraId="7A1A214A">
            <w:pPr>
              <w:ind w:firstLine="0" w:firstLineChars="0"/>
              <w:jc w:val="center"/>
              <w:rPr>
                <w:rFonts w:hint="eastAsia" w:ascii="方正仿宋_GBK" w:hAnsi="宋体" w:cs="宋体"/>
                <w:b/>
                <w:bCs/>
                <w:kern w:val="0"/>
                <w:sz w:val="21"/>
              </w:rPr>
            </w:pPr>
            <w:r>
              <w:rPr>
                <w:rFonts w:hint="eastAsia" w:ascii="方正仿宋_GBK" w:hAnsi="宋体" w:cs="宋体"/>
                <w:b/>
                <w:bCs/>
                <w:kern w:val="0"/>
                <w:sz w:val="21"/>
              </w:rPr>
              <w:t>中选人数量（名）</w:t>
            </w:r>
          </w:p>
        </w:tc>
      </w:tr>
      <w:tr w14:paraId="5671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969" w:type="dxa"/>
            <w:tcBorders>
              <w:top w:val="single" w:color="auto" w:sz="4" w:space="0"/>
              <w:left w:val="single" w:color="auto" w:sz="4" w:space="0"/>
              <w:right w:val="single" w:color="auto" w:sz="4" w:space="0"/>
            </w:tcBorders>
            <w:noWrap w:val="0"/>
            <w:vAlign w:val="center"/>
          </w:tcPr>
          <w:p w14:paraId="6845AE1A">
            <w:pPr>
              <w:widowControl/>
              <w:ind w:firstLine="0" w:firstLineChars="0"/>
              <w:jc w:val="center"/>
              <w:rPr>
                <w:rFonts w:hint="eastAsia" w:ascii="方正仿宋_GBK" w:hAnsi="宋体" w:cs="宋体"/>
                <w:kern w:val="0"/>
                <w:sz w:val="21"/>
              </w:rPr>
            </w:pPr>
            <w:r>
              <w:rPr>
                <w:rFonts w:hint="eastAsia" w:ascii="方正仿宋_GBK" w:hAnsi="宋体"/>
              </w:rPr>
              <w:t>华岩片区项目秩序选聘三方服务单位</w:t>
            </w:r>
          </w:p>
        </w:tc>
        <w:tc>
          <w:tcPr>
            <w:tcW w:w="2419" w:type="dxa"/>
            <w:tcBorders>
              <w:top w:val="single" w:color="auto" w:sz="4" w:space="0"/>
              <w:left w:val="single" w:color="auto" w:sz="4" w:space="0"/>
              <w:right w:val="single" w:color="auto" w:sz="4" w:space="0"/>
            </w:tcBorders>
            <w:noWrap w:val="0"/>
            <w:vAlign w:val="center"/>
          </w:tcPr>
          <w:p w14:paraId="6B014D83">
            <w:pPr>
              <w:widowControl/>
              <w:ind w:firstLine="0" w:firstLineChars="0"/>
              <w:jc w:val="center"/>
              <w:rPr>
                <w:rFonts w:ascii="方正仿宋_GBK" w:hAnsi="宋体" w:cs="宋体"/>
                <w:kern w:val="0"/>
                <w:sz w:val="21"/>
              </w:rPr>
            </w:pPr>
            <w:r>
              <w:rPr>
                <w:rFonts w:hint="eastAsia" w:ascii="方正仿宋_GBK" w:hAnsi="宋体" w:cs="宋体"/>
                <w:kern w:val="0"/>
                <w:sz w:val="21"/>
              </w:rPr>
              <w:t>700868.4元/年</w:t>
            </w:r>
          </w:p>
        </w:tc>
        <w:tc>
          <w:tcPr>
            <w:tcW w:w="2595" w:type="dxa"/>
            <w:tcBorders>
              <w:top w:val="single" w:color="auto" w:sz="4" w:space="0"/>
              <w:left w:val="single" w:color="auto" w:sz="4" w:space="0"/>
              <w:right w:val="single" w:color="auto" w:sz="4" w:space="0"/>
            </w:tcBorders>
            <w:noWrap w:val="0"/>
            <w:vAlign w:val="center"/>
          </w:tcPr>
          <w:p w14:paraId="617D2CA9">
            <w:pPr>
              <w:widowControl/>
              <w:ind w:firstLine="0" w:firstLineChars="0"/>
              <w:jc w:val="center"/>
              <w:rPr>
                <w:rFonts w:hint="eastAsia" w:ascii="方正仿宋_GBK" w:hAnsi="宋体" w:cs="宋体"/>
                <w:kern w:val="0"/>
                <w:sz w:val="21"/>
              </w:rPr>
            </w:pPr>
            <w:r>
              <w:rPr>
                <w:rFonts w:hint="eastAsia" w:ascii="方正仿宋_GBK" w:hAnsi="宋体" w:cs="宋体"/>
                <w:kern w:val="0"/>
                <w:sz w:val="21"/>
              </w:rPr>
              <w:t>12个月（各服务地点服务时间以中选人入场时间起算）</w:t>
            </w:r>
          </w:p>
        </w:tc>
        <w:tc>
          <w:tcPr>
            <w:tcW w:w="2177" w:type="dxa"/>
            <w:tcBorders>
              <w:top w:val="single" w:color="auto" w:sz="4" w:space="0"/>
              <w:left w:val="single" w:color="auto" w:sz="4" w:space="0"/>
              <w:right w:val="single" w:color="auto" w:sz="4" w:space="0"/>
            </w:tcBorders>
            <w:noWrap w:val="0"/>
            <w:vAlign w:val="center"/>
          </w:tcPr>
          <w:p w14:paraId="50B23717">
            <w:pPr>
              <w:widowControl/>
              <w:ind w:firstLine="0" w:firstLineChars="0"/>
              <w:jc w:val="center"/>
              <w:rPr>
                <w:rFonts w:hint="eastAsia" w:ascii="方正仿宋_GBK" w:hAnsi="宋体" w:cs="宋体"/>
                <w:kern w:val="0"/>
                <w:sz w:val="21"/>
              </w:rPr>
            </w:pPr>
            <w:r>
              <w:rPr>
                <w:rFonts w:hint="eastAsia" w:ascii="方正仿宋_GBK" w:hAnsi="宋体" w:cs="宋体"/>
                <w:kern w:val="0"/>
                <w:sz w:val="21"/>
              </w:rPr>
              <w:t>1</w:t>
            </w:r>
          </w:p>
        </w:tc>
      </w:tr>
    </w:tbl>
    <w:p w14:paraId="66155919">
      <w:pPr>
        <w:pStyle w:val="3"/>
        <w:adjustRightInd w:val="0"/>
        <w:spacing w:before="0" w:after="0" w:line="400" w:lineRule="exact"/>
        <w:ind w:firstLine="482"/>
        <w:rPr>
          <w:rFonts w:hint="eastAsia" w:ascii="方正仿宋_GBK" w:hAnsi="宋体" w:eastAsia="方正仿宋_GBK"/>
          <w:sz w:val="24"/>
        </w:rPr>
      </w:pPr>
      <w:r>
        <w:rPr>
          <w:rFonts w:hint="eastAsia" w:ascii="方正仿宋_GBK" w:hAnsi="宋体" w:eastAsia="方正仿宋_GBK"/>
          <w:sz w:val="24"/>
        </w:rPr>
        <w:t>二、资金来源</w:t>
      </w:r>
      <w:bookmarkEnd w:id="8"/>
      <w:bookmarkEnd w:id="9"/>
    </w:p>
    <w:p w14:paraId="15FF5064">
      <w:pPr>
        <w:rPr>
          <w:rFonts w:hint="eastAsia" w:ascii="方正仿宋_GBK" w:hAnsi="宋体"/>
        </w:rPr>
      </w:pPr>
      <w:r>
        <w:rPr>
          <w:rFonts w:hint="eastAsia" w:ascii="方正仿宋_GBK" w:hAnsi="仿宋"/>
        </w:rPr>
        <w:t>单位自筹资金，预算金额为700868.4元</w:t>
      </w:r>
      <w:r>
        <w:rPr>
          <w:rFonts w:hint="eastAsia" w:ascii="方正仿宋_GBK" w:hAnsi="仿宋"/>
          <w:lang w:val="en-US" w:eastAsia="zh-CN"/>
        </w:rPr>
        <w:t>/年</w:t>
      </w:r>
      <w:r>
        <w:rPr>
          <w:rFonts w:hint="eastAsia" w:ascii="方正仿宋_GBK" w:hAnsi="宋体"/>
        </w:rPr>
        <w:t>。</w:t>
      </w:r>
    </w:p>
    <w:p w14:paraId="5A147201">
      <w:pPr>
        <w:pStyle w:val="3"/>
        <w:adjustRightInd w:val="0"/>
        <w:spacing w:before="0" w:after="0" w:line="400" w:lineRule="exact"/>
        <w:ind w:firstLine="482"/>
        <w:rPr>
          <w:rFonts w:hint="eastAsia" w:ascii="方正仿宋_GBK" w:hAnsi="宋体" w:eastAsia="方正仿宋_GBK"/>
          <w:sz w:val="24"/>
        </w:rPr>
      </w:pPr>
      <w:bookmarkStart w:id="12" w:name="_Toc31883"/>
      <w:bookmarkStart w:id="13" w:name="_Toc76462319"/>
      <w:r>
        <w:rPr>
          <w:rFonts w:hint="eastAsia" w:ascii="方正仿宋_GBK" w:hAnsi="宋体" w:eastAsia="方正仿宋_GBK"/>
          <w:sz w:val="24"/>
        </w:rPr>
        <w:t>三、竞选人资格条件</w:t>
      </w:r>
      <w:bookmarkEnd w:id="12"/>
      <w:bookmarkEnd w:id="13"/>
    </w:p>
    <w:p w14:paraId="0B4E753F">
      <w:pPr>
        <w:rPr>
          <w:rFonts w:hint="eastAsia" w:ascii="方正仿宋_GBK" w:hAnsi="宋体"/>
        </w:rPr>
      </w:pPr>
      <w:r>
        <w:rPr>
          <w:rFonts w:hint="eastAsia" w:ascii="方正仿宋_GBK" w:hAnsi="宋体"/>
        </w:rPr>
        <w:t>1. 基本资格条件（本部分竞选人出具承诺，格式见第七章竞选文件格式）</w:t>
      </w:r>
    </w:p>
    <w:p w14:paraId="2F00D7A7">
      <w:pPr>
        <w:rPr>
          <w:rFonts w:hint="eastAsia" w:ascii="方正仿宋_GBK" w:hAnsi="宋体"/>
        </w:rPr>
      </w:pPr>
      <w:r>
        <w:rPr>
          <w:rFonts w:hint="eastAsia" w:ascii="方正仿宋_GBK" w:hAnsi="宋体"/>
        </w:rPr>
        <w:t>（1）‌具有独立承担民事责任的能力；</w:t>
      </w:r>
    </w:p>
    <w:p w14:paraId="59CE3150">
      <w:pPr>
        <w:rPr>
          <w:rFonts w:hint="eastAsia" w:ascii="方正仿宋_GBK" w:hAnsi="宋体"/>
        </w:rPr>
      </w:pPr>
      <w:r>
        <w:rPr>
          <w:rFonts w:hint="eastAsia" w:ascii="方正仿宋_GBK" w:hAnsi="宋体"/>
        </w:rPr>
        <w:t>（2）‌具有良好的商业信誉和健全的财务会计制度；</w:t>
      </w:r>
    </w:p>
    <w:p w14:paraId="2A8D8668">
      <w:pPr>
        <w:rPr>
          <w:rFonts w:hint="eastAsia" w:ascii="方正仿宋_GBK" w:hAnsi="宋体"/>
        </w:rPr>
      </w:pPr>
      <w:r>
        <w:rPr>
          <w:rFonts w:hint="eastAsia" w:ascii="方正仿宋_GBK" w:hAnsi="宋体"/>
        </w:rPr>
        <w:t>（3）‌具有履行合同所必需的设备和专业技术能力；</w:t>
      </w:r>
    </w:p>
    <w:p w14:paraId="2F1B00AE">
      <w:pPr>
        <w:rPr>
          <w:rFonts w:hint="eastAsia" w:ascii="方正仿宋_GBK" w:hAnsi="宋体"/>
        </w:rPr>
      </w:pPr>
      <w:r>
        <w:rPr>
          <w:rFonts w:hint="eastAsia" w:ascii="方正仿宋_GBK" w:hAnsi="宋体"/>
        </w:rPr>
        <w:t>（4）‌有依法缴纳税收和社会保障资金的良好记录；</w:t>
      </w:r>
    </w:p>
    <w:p w14:paraId="296D0103">
      <w:pPr>
        <w:rPr>
          <w:rFonts w:hint="eastAsia" w:ascii="方正仿宋_GBK" w:hAnsi="宋体"/>
        </w:rPr>
      </w:pPr>
      <w:r>
        <w:rPr>
          <w:rFonts w:hint="eastAsia" w:ascii="方正仿宋_GBK" w:hAnsi="宋体"/>
        </w:rPr>
        <w:t>（5）‌参加竞选活动前三年内，在经营活动中没有重大违法记录；</w:t>
      </w:r>
    </w:p>
    <w:p w14:paraId="134CD209">
      <w:pPr>
        <w:rPr>
          <w:rFonts w:hint="eastAsia" w:ascii="方正仿宋_GBK" w:hAnsi="宋体"/>
        </w:rPr>
      </w:pPr>
      <w:r>
        <w:rPr>
          <w:rFonts w:hint="eastAsia" w:ascii="方正仿宋_GBK" w:hAnsi="宋体"/>
        </w:rPr>
        <w:t>（6）‌法律、行政法规规定的其他条件‌。</w:t>
      </w:r>
    </w:p>
    <w:p w14:paraId="2A01B959">
      <w:pPr>
        <w:rPr>
          <w:rFonts w:ascii="方正仿宋_GBK" w:hAnsi="宋体"/>
        </w:rPr>
      </w:pPr>
      <w:r>
        <w:rPr>
          <w:rFonts w:hint="eastAsia" w:ascii="方正仿宋_GBK" w:hAnsi="宋体"/>
        </w:rPr>
        <w:t>2.</w:t>
      </w:r>
      <w:r>
        <w:rPr>
          <w:rFonts w:hint="eastAsia"/>
          <w:szCs w:val="21"/>
        </w:rPr>
        <w:t>竞选人须具有独立法人资格。</w:t>
      </w:r>
    </w:p>
    <w:p w14:paraId="4EF07C37">
      <w:pPr>
        <w:rPr>
          <w:rFonts w:hint="eastAsia" w:ascii="方正仿宋_GBK" w:hAnsi="宋体"/>
        </w:rPr>
      </w:pPr>
      <w:r>
        <w:rPr>
          <w:rFonts w:hint="eastAsia" w:ascii="方正仿宋_GBK" w:hAnsi="宋体"/>
        </w:rPr>
        <w:t>竞选人须在竞选文件中提供有效的营业执照复印件并加盖竞选人单位公章。</w:t>
      </w:r>
    </w:p>
    <w:p w14:paraId="6C3B3354">
      <w:pPr>
        <w:rPr>
          <w:rFonts w:hint="eastAsia" w:ascii="方正仿宋_GBK" w:hAnsi="宋体"/>
        </w:rPr>
      </w:pPr>
      <w:bookmarkStart w:id="14" w:name="_Toc1203"/>
      <w:bookmarkStart w:id="15" w:name="_Toc76462320"/>
      <w:r>
        <w:rPr>
          <w:rFonts w:hint="eastAsia" w:ascii="方正仿宋_GBK" w:hAnsi="宋体"/>
        </w:rPr>
        <w:t>（二）本项目的特定资格条件要求</w:t>
      </w:r>
    </w:p>
    <w:p w14:paraId="55AAB7F0">
      <w:pPr>
        <w:rPr>
          <w:rFonts w:hint="eastAsia" w:ascii="方正仿宋_GBK" w:hAnsi="宋体"/>
        </w:rPr>
      </w:pPr>
      <w:r>
        <w:rPr>
          <w:rFonts w:hint="eastAsia" w:ascii="方正仿宋_GBK" w:hAnsi="宋体"/>
        </w:rPr>
        <w:t>1.法定代表人或委托代理人：法定代表人或委托代理人代表竞选人签署、澄清、说明、补正、递交、撤回、修改本项目竞选文件、签订合同和处理有关事宜，其法律后果由竞选人承担。法定代表人或委托代理人须是竞选单位人员。</w:t>
      </w:r>
    </w:p>
    <w:p w14:paraId="1A677C8E">
      <w:pPr>
        <w:rPr>
          <w:rFonts w:hint="default" w:ascii="方正仿宋_GBK" w:hAnsi="宋体"/>
          <w:lang w:val="en-US"/>
        </w:rPr>
      </w:pPr>
      <w:r>
        <w:rPr>
          <w:rFonts w:hint="eastAsia" w:ascii="方正仿宋_GBK" w:hAnsi="宋体"/>
        </w:rPr>
        <w:t>竞选人须在竞选文件中提供法定代表人身份证明。法定代表人委托代理人竞选的，还须提供授权委托书、竞选人为该委托代理人缴纳的养老保险证明。拟派人员的连续养老保险证明期限须包含2025年</w:t>
      </w:r>
      <w:r>
        <w:rPr>
          <w:rFonts w:hint="eastAsia" w:ascii="方正仿宋_GBK" w:hAnsi="宋体"/>
          <w:lang w:val="en-US" w:eastAsia="zh-CN"/>
        </w:rPr>
        <w:t>7</w:t>
      </w:r>
      <w:r>
        <w:rPr>
          <w:rFonts w:hint="eastAsia" w:ascii="方正仿宋_GBK" w:hAnsi="宋体"/>
        </w:rPr>
        <w:t>月至2025年</w:t>
      </w:r>
      <w:r>
        <w:rPr>
          <w:rFonts w:hint="eastAsia" w:ascii="方正仿宋_GBK" w:hAnsi="宋体"/>
          <w:lang w:val="en-US" w:eastAsia="zh-CN"/>
        </w:rPr>
        <w:t>12</w:t>
      </w:r>
      <w:r>
        <w:rPr>
          <w:rFonts w:hint="eastAsia" w:ascii="方正仿宋_GBK" w:hAnsi="宋体"/>
        </w:rPr>
        <w:t>月。提供的养老保险参保证明须体现拟派人员的姓名、身份证号（或社保号）、单位名称、在本单位参保时间（或起始参保时间），并带有社保部门公章或社保部门的有效电子印章。</w:t>
      </w:r>
    </w:p>
    <w:p w14:paraId="07FDD21A">
      <w:pPr>
        <w:rPr>
          <w:rFonts w:hint="eastAsia" w:ascii="方正仿宋_GBK" w:hAnsi="宋体"/>
        </w:rPr>
      </w:pPr>
      <w:r>
        <w:rPr>
          <w:rFonts w:hint="eastAsia" w:ascii="方正仿宋_GBK" w:hAnsi="宋体"/>
          <w:lang w:val="en-US" w:eastAsia="zh-CN"/>
        </w:rPr>
        <w:t>2</w:t>
      </w:r>
      <w:r>
        <w:rPr>
          <w:rFonts w:hint="eastAsia" w:ascii="方正仿宋_GBK" w:hAnsi="宋体"/>
        </w:rPr>
        <w:t>.财务要求：2022年、2023年、2024年的年度财务状况未出现连续亏损。</w:t>
      </w:r>
    </w:p>
    <w:p w14:paraId="140D8CEA">
      <w:pPr>
        <w:rPr>
          <w:rFonts w:hint="eastAsia" w:ascii="方正仿宋_GBK" w:hAnsi="宋体"/>
        </w:rPr>
      </w:pPr>
      <w:r>
        <w:rPr>
          <w:rFonts w:hint="eastAsia" w:ascii="方正仿宋_GBK" w:hAnsi="宋体"/>
        </w:rPr>
        <w:t>提供：会计师事务所或审计机构出具的合法有效的财务审计报告及财务报表加盖</w:t>
      </w:r>
      <w:r>
        <w:rPr>
          <w:rFonts w:hint="eastAsia" w:ascii="方正仿宋_GBK" w:hAnsi="宋体"/>
          <w:lang w:val="en-US" w:eastAsia="zh-CN"/>
        </w:rPr>
        <w:t>竞选人</w:t>
      </w:r>
      <w:r>
        <w:rPr>
          <w:rFonts w:hint="eastAsia" w:ascii="方正仿宋_GBK" w:hAnsi="宋体"/>
        </w:rPr>
        <w:t>单位公章，财务报表须至少包括现金流量表、资产负债表、利润表。</w:t>
      </w:r>
    </w:p>
    <w:p w14:paraId="1DAB081D">
      <w:pPr>
        <w:rPr>
          <w:rFonts w:hint="eastAsia"/>
          <w:highlight w:val="none"/>
        </w:rPr>
      </w:pPr>
      <w:r>
        <w:rPr>
          <w:rFonts w:hint="eastAsia"/>
          <w:lang w:val="en-US" w:eastAsia="zh-CN"/>
        </w:rPr>
        <w:t>3.</w:t>
      </w:r>
      <w:r>
        <w:rPr>
          <w:rFonts w:hint="eastAsia"/>
        </w:rPr>
        <w:t>业绩要求：</w:t>
      </w:r>
    </w:p>
    <w:p w14:paraId="412CE4FC">
      <w:pPr>
        <w:rPr>
          <w:rFonts w:hint="eastAsia"/>
          <w:highlight w:val="none"/>
        </w:rPr>
      </w:pPr>
      <w:r>
        <w:rPr>
          <w:rFonts w:hint="eastAsia"/>
          <w:highlight w:val="none"/>
          <w:lang w:eastAsia="zh-CN"/>
        </w:rPr>
        <w:t>竞选</w:t>
      </w:r>
      <w:r>
        <w:rPr>
          <w:rFonts w:hint="eastAsia"/>
          <w:highlight w:val="none"/>
        </w:rPr>
        <w:t>人自2021年1月1日起至</w:t>
      </w:r>
      <w:r>
        <w:rPr>
          <w:rFonts w:hint="eastAsia"/>
          <w:highlight w:val="none"/>
          <w:lang w:eastAsia="zh-CN"/>
        </w:rPr>
        <w:t>竞选</w:t>
      </w:r>
      <w:r>
        <w:rPr>
          <w:rFonts w:hint="eastAsia"/>
          <w:highlight w:val="none"/>
        </w:rPr>
        <w:t>截止日止（以合同签订时间为准），提供1个单项合同金额不低于人民币</w:t>
      </w:r>
      <w:r>
        <w:rPr>
          <w:rFonts w:hint="eastAsia"/>
          <w:highlight w:val="none"/>
          <w:lang w:val="en-US" w:eastAsia="zh-CN"/>
        </w:rPr>
        <w:t>70万元的</w:t>
      </w:r>
      <w:r>
        <w:rPr>
          <w:rFonts w:hint="eastAsia"/>
          <w:highlight w:val="none"/>
        </w:rPr>
        <w:t>物业服务或秩序维护</w:t>
      </w:r>
      <w:r>
        <w:rPr>
          <w:rFonts w:hint="eastAsia"/>
          <w:highlight w:val="none"/>
          <w:lang w:val="en-US" w:eastAsia="zh-CN"/>
        </w:rPr>
        <w:t>业绩</w:t>
      </w:r>
      <w:r>
        <w:rPr>
          <w:rFonts w:hint="eastAsia"/>
          <w:highlight w:val="none"/>
        </w:rPr>
        <w:t>或安保服务业绩。</w:t>
      </w:r>
    </w:p>
    <w:p w14:paraId="07C0F8F0">
      <w:pPr>
        <w:rPr>
          <w:rFonts w:hint="eastAsia"/>
          <w:highlight w:val="none"/>
        </w:rPr>
      </w:pPr>
      <w:r>
        <w:rPr>
          <w:rFonts w:hint="eastAsia"/>
          <w:highlight w:val="none"/>
        </w:rPr>
        <w:t>提供：合同协议书并加盖</w:t>
      </w:r>
      <w:r>
        <w:rPr>
          <w:rFonts w:hint="eastAsia"/>
          <w:highlight w:val="none"/>
          <w:lang w:val="en-US" w:eastAsia="zh-CN"/>
        </w:rPr>
        <w:t>竞选人</w:t>
      </w:r>
      <w:r>
        <w:rPr>
          <w:rFonts w:hint="eastAsia"/>
          <w:highlight w:val="none"/>
        </w:rPr>
        <w:t>单位公章，如合同协议书无法体现物业服务或秩序维护或安保服务类型或金额的，还须同时提供发票作为支撑材料。若提供的业绩证明材料仍然不能体现上述业绩指标的，应补充提供业主证明。</w:t>
      </w:r>
    </w:p>
    <w:p w14:paraId="258BA438">
      <w:pPr>
        <w:rPr>
          <w:rFonts w:hint="default"/>
          <w:lang w:val="en-US" w:eastAsia="zh-CN"/>
        </w:rPr>
      </w:pPr>
      <w:r>
        <w:rPr>
          <w:rFonts w:hint="eastAsia"/>
          <w:highlight w:val="none"/>
        </w:rPr>
        <w:t>注：未按要求提供对应业绩</w:t>
      </w:r>
      <w:r>
        <w:rPr>
          <w:rFonts w:hint="eastAsia"/>
        </w:rPr>
        <w:t>证明材料或业绩证明材料内容模糊评标委员会无法判断的，评标委员会将不予认可。</w:t>
      </w:r>
    </w:p>
    <w:p w14:paraId="68D49AAC">
      <w:pPr>
        <w:pStyle w:val="3"/>
        <w:adjustRightInd w:val="0"/>
        <w:spacing w:before="0" w:after="0" w:line="400" w:lineRule="exact"/>
        <w:ind w:firstLine="482"/>
        <w:rPr>
          <w:rFonts w:hint="eastAsia" w:ascii="方正仿宋_GBK" w:hAnsi="宋体" w:eastAsia="方正仿宋_GBK"/>
          <w:sz w:val="24"/>
          <w:lang w:eastAsia="zh-CN"/>
        </w:rPr>
      </w:pPr>
      <w:r>
        <w:rPr>
          <w:rFonts w:hint="eastAsia" w:ascii="方正仿宋_GBK" w:hAnsi="宋体" w:eastAsia="方正仿宋_GBK"/>
          <w:sz w:val="24"/>
          <w:lang w:val="en-US" w:eastAsia="zh-CN"/>
        </w:rPr>
        <w:t>4.竞选人拟派的4名</w:t>
      </w:r>
      <w:r>
        <w:rPr>
          <w:rFonts w:hint="eastAsia" w:ascii="方正仿宋_GBK" w:hAnsi="宋体" w:eastAsia="方正仿宋_GBK"/>
          <w:sz w:val="24"/>
        </w:rPr>
        <w:t>中控室</w:t>
      </w:r>
      <w:r>
        <w:rPr>
          <w:rFonts w:hint="eastAsia" w:ascii="方正仿宋_GBK" w:hAnsi="宋体" w:eastAsia="方正仿宋_GBK"/>
          <w:sz w:val="24"/>
          <w:lang w:val="en-US" w:eastAsia="zh-CN"/>
        </w:rPr>
        <w:t>人员具有</w:t>
      </w:r>
      <w:r>
        <w:rPr>
          <w:rFonts w:hint="eastAsia" w:ascii="方正仿宋_GBK" w:hAnsi="宋体" w:eastAsia="方正仿宋_GBK"/>
          <w:sz w:val="24"/>
        </w:rPr>
        <w:t>四级/中级及以上建(构)筑消防员职业资格证（或四级/中级及以上消防设施操作员证书）</w:t>
      </w:r>
      <w:r>
        <w:rPr>
          <w:rFonts w:hint="eastAsia" w:ascii="方正仿宋_GBK" w:hAnsi="宋体" w:eastAsia="方正仿宋_GBK"/>
          <w:sz w:val="24"/>
          <w:lang w:eastAsia="zh-CN"/>
        </w:rPr>
        <w:t>。</w:t>
      </w:r>
    </w:p>
    <w:p w14:paraId="35BDB326">
      <w:pPr>
        <w:rPr>
          <w:rFonts w:hint="eastAsia" w:eastAsia="方正仿宋_GBK"/>
          <w:lang w:val="en-US" w:eastAsia="zh-CN"/>
        </w:rPr>
      </w:pPr>
      <w:r>
        <w:rPr>
          <w:rFonts w:hint="eastAsia"/>
        </w:rPr>
        <w:t>提供：拟派人员名单、拟派人员身份证及拟派人员的四级/中级及以上建(构)筑消防员职业资格证（或四级/中级及以上消防设施操作员证书）并加盖竞选人单位公章</w:t>
      </w:r>
      <w:r>
        <w:rPr>
          <w:rFonts w:hint="eastAsia"/>
          <w:lang w:eastAsia="zh-CN"/>
        </w:rPr>
        <w:t>。</w:t>
      </w:r>
    </w:p>
    <w:p w14:paraId="51FB7D5F">
      <w:pPr>
        <w:pStyle w:val="3"/>
        <w:adjustRightInd w:val="0"/>
        <w:spacing w:before="0" w:after="0" w:line="400" w:lineRule="exact"/>
        <w:ind w:firstLine="482"/>
        <w:rPr>
          <w:rFonts w:hint="eastAsia" w:ascii="方正仿宋_GBK" w:hAnsi="宋体" w:eastAsia="方正仿宋_GBK"/>
          <w:sz w:val="24"/>
        </w:rPr>
      </w:pPr>
      <w:r>
        <w:rPr>
          <w:rFonts w:hint="eastAsia" w:ascii="方正仿宋_GBK" w:hAnsi="宋体" w:eastAsia="方正仿宋_GBK"/>
          <w:sz w:val="24"/>
        </w:rPr>
        <w:t>四、比选有关说明</w:t>
      </w:r>
      <w:bookmarkEnd w:id="10"/>
      <w:bookmarkEnd w:id="14"/>
      <w:bookmarkEnd w:id="15"/>
    </w:p>
    <w:p w14:paraId="3FA8FF20">
      <w:pPr>
        <w:rPr>
          <w:rFonts w:hint="eastAsia" w:ascii="方正仿宋_GBK" w:hAnsi="宋体"/>
        </w:rPr>
      </w:pPr>
      <w:r>
        <w:rPr>
          <w:rFonts w:hint="eastAsia" w:ascii="方正仿宋_GBK" w:hAnsi="宋体"/>
        </w:rPr>
        <w:t xml:space="preserve">（一）竞争性比选文件的获取： </w:t>
      </w:r>
    </w:p>
    <w:p w14:paraId="17650982">
      <w:pPr>
        <w:rPr>
          <w:rFonts w:hint="eastAsia" w:ascii="方正仿宋_GBK" w:hAnsi="宋体"/>
          <w:highlight w:val="none"/>
        </w:rPr>
      </w:pPr>
      <w:r>
        <w:rPr>
          <w:rFonts w:hint="eastAsia" w:ascii="方正仿宋_GBK" w:hAnsi="宋体"/>
        </w:rPr>
        <w:t>凡有意参加竞选</w:t>
      </w:r>
      <w:r>
        <w:rPr>
          <w:rFonts w:hint="eastAsia" w:ascii="方正仿宋_GBK" w:hAnsi="宋体"/>
          <w:highlight w:val="none"/>
        </w:rPr>
        <w:t>的竞选人，请在“《重庆市九龙坡区官方新闻网》（http：//www.cqjlp.com.cn/）”“《重庆国际投资咨询集团有限公司》（https：//www.cqiic.com）”网上下载本项目比选文件以及澄清等开标前公布的所有项目资料，无论竞选人下载与否，均视为已知晓所有比选内容。</w:t>
      </w:r>
    </w:p>
    <w:p w14:paraId="4EC0ABB9">
      <w:pPr>
        <w:rPr>
          <w:rFonts w:hint="eastAsia" w:ascii="方正仿宋_GBK" w:hAnsi="宋体"/>
          <w:highlight w:val="none"/>
        </w:rPr>
      </w:pPr>
      <w:r>
        <w:rPr>
          <w:rFonts w:hint="eastAsia" w:ascii="方正仿宋_GBK" w:hAnsi="宋体"/>
          <w:highlight w:val="none"/>
        </w:rPr>
        <w:t>（二）递交竞选文件地点：重庆国际投资咨询集团有限公司开标厅（重庆市江北区五里店五简路2号重庆咨询大厦A栋负一层）</w:t>
      </w:r>
    </w:p>
    <w:p w14:paraId="1F6DA470">
      <w:pPr>
        <w:rPr>
          <w:rFonts w:ascii="方正仿宋_GBK" w:hAnsi="宋体"/>
          <w:highlight w:val="none"/>
        </w:rPr>
      </w:pPr>
      <w:r>
        <w:rPr>
          <w:rFonts w:hint="eastAsia" w:ascii="方正仿宋_GBK" w:hAnsi="宋体"/>
          <w:highlight w:val="none"/>
        </w:rPr>
        <w:t>（三）竞选文件递交截止时间：202</w:t>
      </w:r>
      <w:r>
        <w:rPr>
          <w:rFonts w:hint="eastAsia" w:ascii="方正仿宋_GBK" w:hAnsi="宋体"/>
          <w:highlight w:val="none"/>
          <w:lang w:val="en-US" w:eastAsia="zh-CN"/>
        </w:rPr>
        <w:t>6</w:t>
      </w:r>
      <w:r>
        <w:rPr>
          <w:rFonts w:hint="eastAsia" w:ascii="方正仿宋_GBK" w:hAnsi="宋体"/>
          <w:highlight w:val="none"/>
        </w:rPr>
        <w:t>年</w:t>
      </w:r>
      <w:r>
        <w:rPr>
          <w:rFonts w:hint="eastAsia" w:ascii="方正仿宋_GBK" w:hAnsi="宋体"/>
          <w:highlight w:val="none"/>
          <w:lang w:val="en-US" w:eastAsia="zh-CN"/>
        </w:rPr>
        <w:t>1</w:t>
      </w:r>
      <w:r>
        <w:rPr>
          <w:rFonts w:hint="eastAsia" w:ascii="方正仿宋_GBK" w:hAnsi="宋体"/>
          <w:highlight w:val="none"/>
        </w:rPr>
        <w:t>月</w:t>
      </w:r>
      <w:r>
        <w:rPr>
          <w:rFonts w:hint="eastAsia" w:ascii="方正仿宋_GBK" w:hAnsi="宋体"/>
          <w:highlight w:val="none"/>
          <w:lang w:val="en-US" w:eastAsia="zh-CN"/>
        </w:rPr>
        <w:t>22</w:t>
      </w:r>
      <w:r>
        <w:rPr>
          <w:rFonts w:hint="eastAsia" w:ascii="方正仿宋_GBK" w:hAnsi="宋体"/>
          <w:highlight w:val="none"/>
        </w:rPr>
        <w:t>日北京时间 14:00</w:t>
      </w:r>
    </w:p>
    <w:p w14:paraId="5396508F">
      <w:pPr>
        <w:rPr>
          <w:rFonts w:ascii="方正仿宋_GBK" w:hAnsi="宋体"/>
          <w:highlight w:val="none"/>
        </w:rPr>
      </w:pPr>
      <w:r>
        <w:rPr>
          <w:rFonts w:hint="eastAsia" w:ascii="方正仿宋_GBK" w:hAnsi="宋体"/>
          <w:highlight w:val="none"/>
        </w:rPr>
        <w:t>（四）比选开始时间：202</w:t>
      </w:r>
      <w:r>
        <w:rPr>
          <w:rFonts w:hint="eastAsia" w:ascii="方正仿宋_GBK" w:hAnsi="宋体"/>
          <w:highlight w:val="none"/>
          <w:lang w:val="en-US" w:eastAsia="zh-CN"/>
        </w:rPr>
        <w:t>6</w:t>
      </w:r>
      <w:r>
        <w:rPr>
          <w:rFonts w:hint="eastAsia" w:ascii="方正仿宋_GBK" w:hAnsi="宋体"/>
          <w:highlight w:val="none"/>
        </w:rPr>
        <w:t>年</w:t>
      </w:r>
      <w:r>
        <w:rPr>
          <w:rFonts w:hint="eastAsia" w:ascii="方正仿宋_GBK" w:hAnsi="宋体"/>
          <w:highlight w:val="none"/>
          <w:lang w:val="en-US" w:eastAsia="zh-CN"/>
        </w:rPr>
        <w:t>1</w:t>
      </w:r>
      <w:r>
        <w:rPr>
          <w:rFonts w:hint="eastAsia" w:ascii="方正仿宋_GBK" w:hAnsi="宋体"/>
          <w:highlight w:val="none"/>
        </w:rPr>
        <w:t>月</w:t>
      </w:r>
      <w:r>
        <w:rPr>
          <w:rFonts w:hint="eastAsia" w:ascii="方正仿宋_GBK" w:hAnsi="宋体"/>
          <w:highlight w:val="none"/>
          <w:lang w:val="en-US" w:eastAsia="zh-CN"/>
        </w:rPr>
        <w:t>22</w:t>
      </w:r>
      <w:r>
        <w:rPr>
          <w:rFonts w:hint="eastAsia" w:ascii="方正仿宋_GBK" w:hAnsi="宋体"/>
          <w:highlight w:val="none"/>
        </w:rPr>
        <w:t>日北京时间14:00</w:t>
      </w:r>
    </w:p>
    <w:p w14:paraId="6C730BD9">
      <w:pPr>
        <w:rPr>
          <w:rFonts w:ascii="方正仿宋_GBK" w:hAnsi="宋体"/>
          <w:highlight w:val="none"/>
        </w:rPr>
      </w:pPr>
      <w:r>
        <w:rPr>
          <w:rFonts w:hint="eastAsia" w:ascii="方正仿宋_GBK" w:hAnsi="宋体"/>
          <w:highlight w:val="none"/>
        </w:rPr>
        <w:t>（五）比选文件提问截止时间：2</w:t>
      </w:r>
      <w:bookmarkStart w:id="121" w:name="_GoBack"/>
      <w:bookmarkEnd w:id="121"/>
      <w:r>
        <w:rPr>
          <w:rFonts w:hint="eastAsia" w:ascii="方正仿宋_GBK" w:hAnsi="宋体"/>
          <w:highlight w:val="none"/>
        </w:rPr>
        <w:t>02</w:t>
      </w:r>
      <w:r>
        <w:rPr>
          <w:rFonts w:hint="eastAsia" w:ascii="方正仿宋_GBK" w:hAnsi="宋体"/>
          <w:highlight w:val="none"/>
          <w:lang w:val="en-US" w:eastAsia="zh-CN"/>
        </w:rPr>
        <w:t>6</w:t>
      </w:r>
      <w:r>
        <w:rPr>
          <w:rFonts w:hint="eastAsia" w:ascii="方正仿宋_GBK" w:hAnsi="宋体"/>
          <w:highlight w:val="none"/>
        </w:rPr>
        <w:t>年</w:t>
      </w:r>
      <w:r>
        <w:rPr>
          <w:rFonts w:hint="eastAsia" w:ascii="方正仿宋_GBK" w:hAnsi="宋体"/>
          <w:highlight w:val="none"/>
          <w:lang w:val="en-US" w:eastAsia="zh-CN"/>
        </w:rPr>
        <w:t>1</w:t>
      </w:r>
      <w:r>
        <w:rPr>
          <w:rFonts w:hint="eastAsia" w:ascii="方正仿宋_GBK" w:hAnsi="宋体"/>
          <w:highlight w:val="none"/>
        </w:rPr>
        <w:t>月</w:t>
      </w:r>
      <w:r>
        <w:rPr>
          <w:rFonts w:hint="eastAsia" w:ascii="方正仿宋_GBK" w:hAnsi="宋体"/>
          <w:highlight w:val="none"/>
          <w:lang w:val="en-US" w:eastAsia="zh-CN"/>
        </w:rPr>
        <w:t>19</w:t>
      </w:r>
      <w:r>
        <w:rPr>
          <w:rFonts w:hint="eastAsia" w:ascii="方正仿宋_GBK" w:hAnsi="宋体"/>
          <w:highlight w:val="none"/>
        </w:rPr>
        <w:t>日北京时间1</w:t>
      </w:r>
      <w:r>
        <w:rPr>
          <w:rFonts w:hint="eastAsia" w:ascii="方正仿宋_GBK" w:hAnsi="宋体"/>
          <w:highlight w:val="none"/>
          <w:lang w:val="en-US" w:eastAsia="zh-CN"/>
        </w:rPr>
        <w:t>7</w:t>
      </w:r>
      <w:r>
        <w:rPr>
          <w:rFonts w:hint="eastAsia" w:ascii="方正仿宋_GBK" w:hAnsi="宋体"/>
          <w:highlight w:val="none"/>
        </w:rPr>
        <w:t>:00</w:t>
      </w:r>
    </w:p>
    <w:p w14:paraId="7E3CA1EB">
      <w:pPr>
        <w:rPr>
          <w:rFonts w:ascii="方正仿宋_GBK" w:hAnsi="宋体"/>
          <w:highlight w:val="none"/>
        </w:rPr>
      </w:pPr>
      <w:r>
        <w:rPr>
          <w:rFonts w:hint="eastAsia" w:ascii="方正仿宋_GBK" w:hAnsi="宋体"/>
          <w:highlight w:val="none"/>
        </w:rPr>
        <w:t>（六）比选文件澄清截止时间：202</w:t>
      </w:r>
      <w:r>
        <w:rPr>
          <w:rFonts w:hint="eastAsia" w:ascii="方正仿宋_GBK" w:hAnsi="宋体"/>
          <w:highlight w:val="none"/>
          <w:lang w:val="en-US" w:eastAsia="zh-CN"/>
        </w:rPr>
        <w:t>6</w:t>
      </w:r>
      <w:r>
        <w:rPr>
          <w:rFonts w:hint="eastAsia" w:ascii="方正仿宋_GBK" w:hAnsi="宋体"/>
          <w:highlight w:val="none"/>
        </w:rPr>
        <w:t>年</w:t>
      </w:r>
      <w:r>
        <w:rPr>
          <w:rFonts w:hint="eastAsia" w:ascii="方正仿宋_GBK" w:hAnsi="宋体"/>
          <w:highlight w:val="none"/>
          <w:lang w:val="en-US" w:eastAsia="zh-CN"/>
        </w:rPr>
        <w:t>1</w:t>
      </w:r>
      <w:r>
        <w:rPr>
          <w:rFonts w:hint="eastAsia" w:ascii="方正仿宋_GBK" w:hAnsi="宋体"/>
          <w:highlight w:val="none"/>
        </w:rPr>
        <w:t>月</w:t>
      </w:r>
      <w:r>
        <w:rPr>
          <w:rFonts w:hint="eastAsia" w:ascii="方正仿宋_GBK" w:hAnsi="宋体"/>
          <w:highlight w:val="none"/>
          <w:lang w:val="en-US" w:eastAsia="zh-CN"/>
        </w:rPr>
        <w:t>21</w:t>
      </w:r>
      <w:r>
        <w:rPr>
          <w:rFonts w:hint="eastAsia" w:ascii="方正仿宋_GBK" w:hAnsi="宋体"/>
          <w:highlight w:val="none"/>
        </w:rPr>
        <w:t>日北京时间1</w:t>
      </w:r>
      <w:r>
        <w:rPr>
          <w:rFonts w:hint="eastAsia" w:ascii="方正仿宋_GBK" w:hAnsi="宋体"/>
          <w:highlight w:val="none"/>
          <w:lang w:val="en-US" w:eastAsia="zh-CN"/>
        </w:rPr>
        <w:t>4</w:t>
      </w:r>
      <w:r>
        <w:rPr>
          <w:rFonts w:hint="eastAsia" w:ascii="方正仿宋_GBK" w:hAnsi="宋体"/>
          <w:highlight w:val="none"/>
        </w:rPr>
        <w:t>:00</w:t>
      </w:r>
    </w:p>
    <w:p w14:paraId="0AAEE505">
      <w:pPr>
        <w:rPr>
          <w:rFonts w:ascii="方正仿宋_GBK" w:hAnsi="宋体"/>
          <w:highlight w:val="none"/>
        </w:rPr>
      </w:pPr>
      <w:r>
        <w:rPr>
          <w:rFonts w:hint="eastAsia" w:ascii="方正仿宋_GBK" w:hAnsi="宋体"/>
          <w:highlight w:val="none"/>
        </w:rPr>
        <w:t>（七）比选公告发布媒介：“《重庆市九龙坡区官方新闻网》（http://www.cqjlp.com.cn/）”“《重庆国际投资咨询集团有限公司》（https://www.cqiic.com）”</w:t>
      </w:r>
    </w:p>
    <w:p w14:paraId="5285E134">
      <w:pPr>
        <w:pStyle w:val="3"/>
        <w:adjustRightInd w:val="0"/>
        <w:spacing w:before="0" w:after="0" w:line="400" w:lineRule="exact"/>
        <w:ind w:firstLine="482"/>
        <w:rPr>
          <w:rFonts w:hint="eastAsia" w:ascii="方正仿宋_GBK" w:hAnsi="宋体" w:eastAsia="方正仿宋_GBK"/>
          <w:sz w:val="24"/>
          <w:highlight w:val="none"/>
        </w:rPr>
      </w:pPr>
      <w:bookmarkStart w:id="16" w:name="_Toc373860294"/>
      <w:bookmarkStart w:id="17" w:name="_Toc76462321"/>
      <w:bookmarkStart w:id="18" w:name="_Toc7681"/>
      <w:r>
        <w:rPr>
          <w:rFonts w:hint="eastAsia" w:ascii="方正仿宋_GBK" w:hAnsi="宋体" w:eastAsia="方正仿宋_GBK"/>
          <w:sz w:val="24"/>
          <w:highlight w:val="none"/>
        </w:rPr>
        <w:t>五、</w:t>
      </w:r>
      <w:bookmarkEnd w:id="11"/>
      <w:bookmarkEnd w:id="16"/>
      <w:bookmarkEnd w:id="17"/>
      <w:bookmarkStart w:id="19" w:name="_Toc480466699"/>
      <w:bookmarkStart w:id="20" w:name="_Toc76462322"/>
      <w:r>
        <w:rPr>
          <w:rFonts w:hint="eastAsia" w:ascii="方正仿宋_GBK" w:hAnsi="宋体" w:eastAsia="方正仿宋_GBK"/>
          <w:sz w:val="24"/>
          <w:highlight w:val="none"/>
        </w:rPr>
        <w:t>其它有关规定</w:t>
      </w:r>
      <w:bookmarkEnd w:id="18"/>
      <w:bookmarkEnd w:id="19"/>
      <w:bookmarkEnd w:id="20"/>
    </w:p>
    <w:p w14:paraId="390DFD87">
      <w:pPr>
        <w:ind w:firstLine="360" w:firstLineChars="150"/>
        <w:rPr>
          <w:rFonts w:hint="eastAsia" w:ascii="方正仿宋_GBK" w:hAnsi="宋体"/>
          <w:highlight w:val="none"/>
        </w:rPr>
      </w:pPr>
      <w:r>
        <w:rPr>
          <w:rFonts w:hint="eastAsia" w:ascii="方正仿宋_GBK" w:hAnsi="宋体"/>
          <w:highlight w:val="none"/>
        </w:rPr>
        <w:t>（一）单位负责人为同一人或者存在直接控股、管理关系的不同竞选人，</w:t>
      </w:r>
      <w:r>
        <w:rPr>
          <w:rFonts w:ascii="方正仿宋_GBK" w:hAnsi="宋体"/>
          <w:highlight w:val="none"/>
        </w:rPr>
        <w:t>不得参加同一合同项</w:t>
      </w:r>
      <w:r>
        <w:rPr>
          <w:rFonts w:hint="eastAsia" w:ascii="方正仿宋_GBK" w:hAnsi="宋体"/>
          <w:highlight w:val="none"/>
        </w:rPr>
        <w:t>（包）</w:t>
      </w:r>
      <w:r>
        <w:rPr>
          <w:rFonts w:ascii="方正仿宋_GBK" w:hAnsi="宋体"/>
          <w:highlight w:val="none"/>
        </w:rPr>
        <w:t>下的</w:t>
      </w:r>
      <w:r>
        <w:rPr>
          <w:rFonts w:hint="eastAsia" w:ascii="方正仿宋_GBK" w:hAnsi="宋体"/>
          <w:highlight w:val="none"/>
        </w:rPr>
        <w:t>竞选</w:t>
      </w:r>
      <w:r>
        <w:rPr>
          <w:rFonts w:ascii="方正仿宋_GBK" w:hAnsi="宋体"/>
          <w:highlight w:val="none"/>
        </w:rPr>
        <w:t>活动</w:t>
      </w:r>
      <w:r>
        <w:rPr>
          <w:rFonts w:hint="eastAsia" w:ascii="方正仿宋_GBK" w:hAnsi="宋体"/>
          <w:highlight w:val="none"/>
        </w:rPr>
        <w:t>，否则均为无效竞选。</w:t>
      </w:r>
    </w:p>
    <w:p w14:paraId="177E4EC5">
      <w:pPr>
        <w:ind w:firstLine="360" w:firstLineChars="150"/>
        <w:rPr>
          <w:rFonts w:hint="eastAsia" w:ascii="方正仿宋_GBK" w:hAnsi="宋体"/>
        </w:rPr>
      </w:pPr>
      <w:r>
        <w:rPr>
          <w:rFonts w:hint="eastAsia" w:ascii="方正仿宋_GBK" w:hAnsi="宋体"/>
          <w:highlight w:val="none"/>
        </w:rPr>
        <w:t>（二）本项目的澄清文件（如果有）比选人集中在“《重庆市九龙坡区官方新闻网》（http：//www.cqjlp.com.cn/）”“《重庆国际投资咨询集团有限公司》（https：//www.cqiic.com）”网上发布；无论竞选人下载与否，均视</w:t>
      </w:r>
      <w:r>
        <w:rPr>
          <w:rFonts w:hint="eastAsia" w:ascii="方正仿宋_GBK" w:hAnsi="宋体"/>
        </w:rPr>
        <w:t>同竞选人已知晓本项目澄清文件（如果有）的内容。</w:t>
      </w:r>
    </w:p>
    <w:p w14:paraId="6C776313">
      <w:pPr>
        <w:ind w:firstLine="360" w:firstLineChars="150"/>
        <w:rPr>
          <w:rFonts w:hint="eastAsia" w:ascii="方正仿宋_GBK" w:hAnsi="宋体"/>
        </w:rPr>
      </w:pPr>
      <w:r>
        <w:rPr>
          <w:rFonts w:hint="eastAsia" w:ascii="方正仿宋_GBK" w:hAnsi="宋体"/>
        </w:rPr>
        <w:t>（三）超过竞选文件截止时间递交的竞选文件，恕不接收。</w:t>
      </w:r>
    </w:p>
    <w:p w14:paraId="1FC91C02">
      <w:pPr>
        <w:ind w:firstLine="360" w:firstLineChars="150"/>
        <w:rPr>
          <w:rFonts w:hint="eastAsia" w:ascii="方正仿宋_GBK" w:hAnsi="宋体"/>
        </w:rPr>
      </w:pPr>
      <w:r>
        <w:rPr>
          <w:rFonts w:hint="eastAsia" w:ascii="方正仿宋_GBK" w:hAnsi="宋体"/>
        </w:rPr>
        <w:t>（四）比选费用：无论比选结果如何，竞选人参与本项目竞选的所有费用均应由竞选人自行承担。</w:t>
      </w:r>
    </w:p>
    <w:p w14:paraId="18E46004">
      <w:pPr>
        <w:ind w:firstLine="360" w:firstLineChars="150"/>
        <w:rPr>
          <w:rFonts w:hint="eastAsia" w:ascii="方正仿宋_GBK" w:hAnsi="宋体"/>
          <w:b/>
        </w:rPr>
      </w:pPr>
      <w:r>
        <w:rPr>
          <w:rFonts w:hint="eastAsia" w:ascii="方正仿宋_GBK" w:hAnsi="宋体"/>
        </w:rPr>
        <w:t>（五）</w:t>
      </w:r>
      <w:r>
        <w:rPr>
          <w:rFonts w:hint="eastAsia" w:ascii="方正仿宋_GBK" w:hAnsi="宋体"/>
          <w:b/>
        </w:rPr>
        <w:t>本项目不接受联合体参与竞选，否则按无效竞选处理。</w:t>
      </w:r>
    </w:p>
    <w:p w14:paraId="53AE7105">
      <w:pPr>
        <w:ind w:firstLine="360" w:firstLineChars="150"/>
        <w:rPr>
          <w:rFonts w:hint="eastAsia" w:ascii="方正仿宋_GBK" w:hAnsi="宋体"/>
        </w:rPr>
      </w:pPr>
      <w:r>
        <w:rPr>
          <w:rFonts w:hint="eastAsia" w:ascii="方正仿宋_GBK" w:hAnsi="宋体"/>
        </w:rPr>
        <w:t>（六）</w:t>
      </w:r>
      <w:r>
        <w:rPr>
          <w:rFonts w:hint="eastAsia" w:ascii="方正仿宋_GBK" w:hAnsi="宋体"/>
          <w:b/>
        </w:rPr>
        <w:t>本项目不接受合同分包，否则按无效竞选处理。</w:t>
      </w:r>
    </w:p>
    <w:p w14:paraId="183B3AAD">
      <w:pPr>
        <w:ind w:firstLine="360" w:firstLineChars="150"/>
        <w:rPr>
          <w:rFonts w:hint="eastAsia" w:ascii="方正仿宋_GBK" w:hAnsi="宋体"/>
        </w:rPr>
      </w:pPr>
      <w:r>
        <w:rPr>
          <w:rFonts w:hint="eastAsia" w:ascii="方正仿宋_GBK" w:hAnsi="宋体"/>
        </w:rPr>
        <w:t>（七）</w:t>
      </w:r>
      <w:bookmarkStart w:id="21" w:name="_Toc480466700"/>
      <w:r>
        <w:rPr>
          <w:rFonts w:hint="eastAsia" w:ascii="方正仿宋_GBK" w:hAnsi="宋体"/>
        </w:rPr>
        <w:t>竞选人列入失信被执行人、重大税收违法案件当事人名单、政府采购严重违法失信行为记录名单及其他不符合《中华人民共和国政府采购法》第二十二条规定条件的竞选人，将拒绝其参与本项目竞选活动。</w:t>
      </w:r>
    </w:p>
    <w:p w14:paraId="041B8616">
      <w:pPr>
        <w:ind w:firstLine="360" w:firstLineChars="150"/>
        <w:rPr>
          <w:rFonts w:hint="eastAsia" w:ascii="方正仿宋_GBK" w:hAnsi="宋体"/>
        </w:rPr>
      </w:pPr>
      <w:bookmarkStart w:id="22" w:name="_Toc76462323"/>
      <w:bookmarkStart w:id="23" w:name="_Toc30390"/>
      <w:r>
        <w:rPr>
          <w:rFonts w:hint="eastAsia" w:ascii="方正仿宋_GBK" w:hAnsi="宋体"/>
        </w:rPr>
        <w:t>（八）本项目不接受竞选人的替代方案。</w:t>
      </w:r>
    </w:p>
    <w:p w14:paraId="539065D8">
      <w:pPr>
        <w:pStyle w:val="3"/>
        <w:adjustRightInd w:val="0"/>
        <w:spacing w:before="0" w:after="0" w:line="400" w:lineRule="exact"/>
        <w:ind w:firstLine="482"/>
        <w:rPr>
          <w:rFonts w:hint="eastAsia" w:ascii="方正仿宋_GBK" w:hAnsi="宋体" w:eastAsia="方正仿宋_GBK"/>
          <w:sz w:val="24"/>
          <w:highlight w:val="none"/>
        </w:rPr>
      </w:pPr>
      <w:r>
        <w:rPr>
          <w:rFonts w:hint="eastAsia" w:ascii="方正仿宋_GBK" w:hAnsi="宋体" w:eastAsia="方正仿宋_GBK"/>
          <w:sz w:val="24"/>
        </w:rPr>
        <w:t>六、联系方</w:t>
      </w:r>
      <w:r>
        <w:rPr>
          <w:rFonts w:hint="eastAsia" w:ascii="方正仿宋_GBK" w:hAnsi="宋体" w:eastAsia="方正仿宋_GBK"/>
          <w:sz w:val="24"/>
          <w:highlight w:val="none"/>
        </w:rPr>
        <w:t>式</w:t>
      </w:r>
      <w:bookmarkEnd w:id="21"/>
      <w:bookmarkEnd w:id="22"/>
      <w:bookmarkEnd w:id="23"/>
    </w:p>
    <w:p w14:paraId="4C23CF3E">
      <w:pPr>
        <w:outlineLvl w:val="9"/>
        <w:rPr>
          <w:rFonts w:hint="eastAsia"/>
        </w:rPr>
      </w:pPr>
      <w:r>
        <w:rPr>
          <w:rFonts w:hint="eastAsia"/>
        </w:rPr>
        <w:t>（一）比选人：重庆瑞盈实业有限公司金瑞智慧生活服务分公司</w:t>
      </w:r>
    </w:p>
    <w:p w14:paraId="44F01BBA">
      <w:pPr>
        <w:rPr>
          <w:rFonts w:ascii="方正仿宋_GBK" w:hAnsi="宋体"/>
          <w:highlight w:val="none"/>
        </w:rPr>
      </w:pPr>
      <w:r>
        <w:rPr>
          <w:rFonts w:hint="eastAsia" w:ascii="方正仿宋_GBK" w:hAnsi="宋体"/>
          <w:highlight w:val="none"/>
        </w:rPr>
        <w:t>联系人： 江</w:t>
      </w:r>
      <w:r>
        <w:rPr>
          <w:rFonts w:hint="eastAsia" w:ascii="方正仿宋_GBK" w:hAnsi="宋体"/>
          <w:highlight w:val="none"/>
          <w:lang w:val="en-US" w:eastAsia="zh-CN"/>
        </w:rPr>
        <w:t>老师</w:t>
      </w:r>
    </w:p>
    <w:p w14:paraId="31AA7BAF">
      <w:pPr>
        <w:rPr>
          <w:rFonts w:ascii="方正仿宋_GBK" w:hAnsi="宋体"/>
          <w:highlight w:val="none"/>
        </w:rPr>
      </w:pPr>
      <w:r>
        <w:rPr>
          <w:rFonts w:hint="eastAsia" w:ascii="方正仿宋_GBK" w:hAnsi="宋体"/>
          <w:highlight w:val="none"/>
        </w:rPr>
        <w:t xml:space="preserve">电  话： </w:t>
      </w:r>
      <w:r>
        <w:rPr>
          <w:rFonts w:hint="eastAsia"/>
          <w:highlight w:val="none"/>
        </w:rPr>
        <w:t>13640510979</w:t>
      </w:r>
    </w:p>
    <w:p w14:paraId="247B859A">
      <w:pPr>
        <w:rPr>
          <w:rFonts w:hint="eastAsia" w:ascii="方正仿宋_GBK" w:hAnsi="宋体"/>
        </w:rPr>
      </w:pPr>
      <w:r>
        <w:rPr>
          <w:rFonts w:hint="eastAsia" w:ascii="方正仿宋_GBK" w:hAnsi="宋体"/>
          <w:highlight w:val="none"/>
        </w:rPr>
        <w:t>地  址：重庆市九龙</w:t>
      </w:r>
      <w:r>
        <w:rPr>
          <w:rFonts w:hint="eastAsia" w:ascii="方正仿宋_GBK" w:hAnsi="宋体"/>
        </w:rPr>
        <w:t>坡区科城支路重庆数字大厦1楼6号门金瑞公司数字大厦办公室</w:t>
      </w:r>
    </w:p>
    <w:p w14:paraId="08F63989">
      <w:pPr>
        <w:outlineLvl w:val="9"/>
        <w:rPr>
          <w:rFonts w:hint="eastAsia"/>
        </w:rPr>
      </w:pPr>
      <w:r>
        <w:rPr>
          <w:rFonts w:hint="eastAsia"/>
        </w:rPr>
        <w:t>（二）比选代理机构：重庆市工程管理有限公司</w:t>
      </w:r>
    </w:p>
    <w:p w14:paraId="5174967C">
      <w:pPr>
        <w:rPr>
          <w:rFonts w:hint="eastAsia" w:ascii="方正仿宋_GBK" w:hAnsi="宋体"/>
        </w:rPr>
      </w:pPr>
      <w:r>
        <w:rPr>
          <w:rFonts w:hint="eastAsia" w:ascii="方正仿宋_GBK" w:hAnsi="宋体"/>
        </w:rPr>
        <w:t>联系人：邓老师</w:t>
      </w:r>
    </w:p>
    <w:p w14:paraId="0FCFF30A">
      <w:pPr>
        <w:rPr>
          <w:rFonts w:hint="eastAsia" w:ascii="方正仿宋_GBK" w:hAnsi="宋体"/>
        </w:rPr>
      </w:pPr>
      <w:r>
        <w:rPr>
          <w:rFonts w:hint="eastAsia" w:ascii="方正仿宋_GBK" w:hAnsi="宋体"/>
        </w:rPr>
        <w:t>电  话：023-67116325</w:t>
      </w:r>
    </w:p>
    <w:p w14:paraId="39D9FCA3">
      <w:pPr>
        <w:rPr>
          <w:rFonts w:hint="eastAsia" w:ascii="方正仿宋_GBK" w:hAnsi="宋体"/>
        </w:rPr>
      </w:pPr>
      <w:r>
        <w:rPr>
          <w:rFonts w:hint="eastAsia" w:ascii="方正仿宋_GBK" w:hAnsi="宋体"/>
        </w:rPr>
        <w:t>地  址：重庆市江北区五里店五简路2号重庆咨询大厦B座301室</w:t>
      </w:r>
    </w:p>
    <w:p w14:paraId="6DDD2DC7">
      <w:pPr>
        <w:rPr>
          <w:rFonts w:hint="eastAsia" w:ascii="方正仿宋_GBK" w:hAnsi="宋体"/>
        </w:rPr>
      </w:pPr>
    </w:p>
    <w:p w14:paraId="2CC27E51">
      <w:pPr>
        <w:jc w:val="right"/>
        <w:rPr>
          <w:rFonts w:ascii="方正仿宋_GBK" w:hAnsi="宋体"/>
        </w:rPr>
      </w:pPr>
      <w:r>
        <w:rPr>
          <w:rFonts w:hint="eastAsia" w:ascii="方正仿宋_GBK" w:hAnsi="宋体"/>
        </w:rPr>
        <w:t>202</w:t>
      </w:r>
      <w:r>
        <w:rPr>
          <w:rFonts w:hint="eastAsia" w:ascii="方正仿宋_GBK" w:hAnsi="宋体"/>
          <w:lang w:val="en-US" w:eastAsia="zh-CN"/>
        </w:rPr>
        <w:t>6</w:t>
      </w:r>
      <w:r>
        <w:rPr>
          <w:rFonts w:hint="eastAsia" w:ascii="方正仿宋_GBK" w:hAnsi="宋体"/>
        </w:rPr>
        <w:t>年</w:t>
      </w:r>
      <w:r>
        <w:rPr>
          <w:rFonts w:hint="eastAsia" w:ascii="方正仿宋_GBK" w:hAnsi="宋体"/>
          <w:lang w:val="en-US" w:eastAsia="zh-CN"/>
        </w:rPr>
        <w:t>1</w:t>
      </w:r>
      <w:r>
        <w:rPr>
          <w:rFonts w:hint="eastAsia" w:ascii="方正仿宋_GBK" w:hAnsi="宋体"/>
        </w:rPr>
        <w:t>月</w:t>
      </w:r>
      <w:r>
        <w:rPr>
          <w:rFonts w:hint="eastAsia" w:ascii="方正仿宋_GBK" w:hAnsi="宋体"/>
          <w:lang w:val="en-US" w:eastAsia="zh-CN"/>
        </w:rPr>
        <w:t>15</w:t>
      </w:r>
      <w:r>
        <w:rPr>
          <w:rFonts w:hint="eastAsia" w:ascii="方正仿宋_GBK" w:hAnsi="宋体"/>
        </w:rPr>
        <w:t>日</w:t>
      </w:r>
    </w:p>
    <w:p w14:paraId="1E433921">
      <w:pPr>
        <w:ind w:firstLine="420"/>
        <w:rPr>
          <w:rFonts w:hint="eastAsia" w:ascii="宋体" w:hAnsi="宋体"/>
          <w:b/>
        </w:rPr>
        <w:sectPr>
          <w:pgSz w:w="11907" w:h="16840"/>
          <w:pgMar w:top="1134" w:right="1418" w:bottom="1134" w:left="1418" w:header="964" w:footer="992" w:gutter="0"/>
          <w:pgBorders>
            <w:top w:val="none" w:sz="0" w:space="0"/>
            <w:left w:val="none" w:sz="0" w:space="0"/>
            <w:bottom w:val="none" w:sz="0" w:space="0"/>
            <w:right w:val="none" w:sz="0" w:space="0"/>
          </w:pgBorders>
          <w:pgNumType w:fmt="numberInDash"/>
          <w:cols w:space="720" w:num="1"/>
          <w:docGrid w:linePitch="312" w:charSpace="0"/>
        </w:sectPr>
      </w:pPr>
    </w:p>
    <w:p w14:paraId="632ED799">
      <w:pPr>
        <w:pStyle w:val="3"/>
        <w:spacing w:before="0" w:after="0" w:line="360" w:lineRule="auto"/>
        <w:ind w:firstLine="0" w:firstLineChars="0"/>
        <w:jc w:val="center"/>
        <w:rPr>
          <w:rFonts w:hint="eastAsia" w:ascii="方正小标宋_GBK" w:hAnsi="宋体" w:eastAsia="方正小标宋_GBK"/>
          <w:b w:val="0"/>
          <w:sz w:val="30"/>
          <w:szCs w:val="30"/>
        </w:rPr>
      </w:pPr>
      <w:bookmarkStart w:id="24" w:name="_Toc76462324"/>
      <w:bookmarkStart w:id="25" w:name="_Toc4332"/>
      <w:r>
        <w:rPr>
          <w:rFonts w:hint="eastAsia" w:ascii="方正小标宋_GBK" w:hAnsi="宋体" w:eastAsia="方正小标宋_GBK"/>
          <w:b w:val="0"/>
          <w:sz w:val="36"/>
          <w:szCs w:val="30"/>
        </w:rPr>
        <w:t>第二篇  项目服务需求</w:t>
      </w:r>
      <w:bookmarkEnd w:id="24"/>
      <w:bookmarkEnd w:id="25"/>
    </w:p>
    <w:p w14:paraId="31C59347">
      <w:pPr>
        <w:rPr>
          <w:rFonts w:hint="eastAsia" w:ascii="仿宋" w:hAnsi="仿宋" w:eastAsia="仿宋" w:cs="仿宋"/>
        </w:rPr>
      </w:pPr>
      <w:bookmarkStart w:id="26" w:name="_Toc76462325"/>
      <w:bookmarkStart w:id="27" w:name="_Toc12789058"/>
      <w:r>
        <w:rPr>
          <w:rFonts w:hint="eastAsia" w:ascii="仿宋" w:hAnsi="仿宋" w:eastAsia="仿宋" w:cs="仿宋"/>
        </w:rPr>
        <w:t>“※”标注的服务需求为符合性审查中的实质性要求，竞选文件若不满足按无效竞选处理。</w:t>
      </w:r>
    </w:p>
    <w:p w14:paraId="49707508">
      <w:pPr>
        <w:pStyle w:val="3"/>
        <w:adjustRightInd w:val="0"/>
        <w:spacing w:before="0" w:after="0" w:line="400" w:lineRule="exact"/>
        <w:ind w:firstLine="482"/>
        <w:rPr>
          <w:rFonts w:ascii="仿宋" w:hAnsi="仿宋" w:eastAsia="仿宋" w:cs="仿宋"/>
          <w:sz w:val="24"/>
        </w:rPr>
      </w:pPr>
      <w:bookmarkStart w:id="28" w:name="_Toc24254"/>
      <w:r>
        <w:rPr>
          <w:rFonts w:hint="eastAsia" w:ascii="仿宋" w:hAnsi="仿宋" w:eastAsia="仿宋" w:cs="仿宋"/>
          <w:sz w:val="24"/>
        </w:rPr>
        <w:t>※一、</w:t>
      </w:r>
      <w:bookmarkEnd w:id="26"/>
      <w:bookmarkEnd w:id="28"/>
      <w:r>
        <w:rPr>
          <w:rFonts w:hint="eastAsia" w:ascii="仿宋" w:hAnsi="仿宋" w:eastAsia="仿宋" w:cs="仿宋"/>
          <w:sz w:val="24"/>
        </w:rPr>
        <w:t>服务范围</w:t>
      </w:r>
    </w:p>
    <w:p w14:paraId="07709EF6">
      <w:pPr>
        <w:rPr>
          <w:rFonts w:hint="eastAsia" w:ascii="仿宋" w:hAnsi="仿宋" w:eastAsia="仿宋" w:cs="仿宋"/>
        </w:rPr>
      </w:pPr>
      <w:r>
        <w:rPr>
          <w:rFonts w:hint="eastAsia" w:ascii="仿宋" w:hAnsi="仿宋" w:eastAsia="仿宋" w:cs="仿宋"/>
        </w:rPr>
        <w:t>1.中选人为比选人合作项目提供秩序安保服务。</w:t>
      </w:r>
    </w:p>
    <w:p w14:paraId="4650C1F3">
      <w:pPr>
        <w:rPr>
          <w:rFonts w:hint="eastAsia" w:ascii="仿宋" w:hAnsi="仿宋" w:eastAsia="仿宋" w:cs="仿宋"/>
        </w:rPr>
      </w:pPr>
      <w:r>
        <w:rPr>
          <w:rFonts w:hint="eastAsia" w:ascii="仿宋" w:hAnsi="仿宋" w:eastAsia="仿宋" w:cs="仿宋"/>
        </w:rPr>
        <w:t>2.秩序安保服务区域：英诺双创（</w:t>
      </w:r>
      <w:r>
        <w:rPr>
          <w:rFonts w:hint="eastAsia"/>
          <w:szCs w:val="21"/>
          <w:u w:val="single"/>
        </w:rPr>
        <w:t>重庆市九龙坡区华福大道北段66号</w:t>
      </w:r>
      <w:r>
        <w:rPr>
          <w:rFonts w:hint="eastAsia" w:ascii="仿宋" w:hAnsi="仿宋" w:eastAsia="仿宋" w:cs="仿宋"/>
        </w:rPr>
        <w:t>）、九龙坡区民政局婚姻登记处（</w:t>
      </w:r>
      <w:r>
        <w:rPr>
          <w:rFonts w:hint="eastAsia"/>
          <w:szCs w:val="21"/>
          <w:u w:val="single"/>
        </w:rPr>
        <w:t xml:space="preserve"> 重庆市九龙坡区彩云大道10号润璟广场3楼重庆市九龙坡区婚姻登记中心）</w:t>
      </w:r>
    </w:p>
    <w:p w14:paraId="57830252">
      <w:pPr>
        <w:rPr>
          <w:rFonts w:hint="eastAsia" w:ascii="仿宋" w:hAnsi="仿宋" w:eastAsia="仿宋" w:cs="仿宋"/>
        </w:rPr>
      </w:pPr>
      <w:r>
        <w:rPr>
          <w:rFonts w:hint="eastAsia" w:ascii="仿宋" w:hAnsi="仿宋" w:eastAsia="仿宋" w:cs="仿宋"/>
        </w:rPr>
        <w:t>3.物业类型：商业综合体、办公楼</w:t>
      </w:r>
    </w:p>
    <w:p w14:paraId="08545BE2">
      <w:pPr>
        <w:pStyle w:val="3"/>
        <w:adjustRightInd w:val="0"/>
        <w:spacing w:before="0" w:after="0" w:line="400" w:lineRule="exact"/>
        <w:ind w:firstLine="482"/>
        <w:rPr>
          <w:rFonts w:hint="eastAsia" w:ascii="仿宋" w:hAnsi="仿宋" w:eastAsia="仿宋" w:cs="仿宋"/>
          <w:sz w:val="24"/>
        </w:rPr>
      </w:pPr>
      <w:r>
        <w:rPr>
          <w:rFonts w:hint="eastAsia" w:ascii="仿宋" w:hAnsi="仿宋" w:eastAsia="仿宋" w:cs="仿宋"/>
          <w:sz w:val="24"/>
        </w:rPr>
        <w:t>※二、秩序安保服务范围</w:t>
      </w:r>
    </w:p>
    <w:p w14:paraId="03E12E15">
      <w:pPr>
        <w:adjustRightInd w:val="0"/>
        <w:spacing w:line="360" w:lineRule="auto"/>
        <w:rPr>
          <w:rFonts w:hint="eastAsia" w:ascii="仿宋" w:hAnsi="仿宋" w:eastAsia="仿宋" w:cs="仿宋"/>
        </w:rPr>
      </w:pPr>
      <w:bookmarkStart w:id="29" w:name="_Toc20462"/>
      <w:r>
        <w:rPr>
          <w:rFonts w:hint="eastAsia" w:ascii="仿宋" w:hAnsi="仿宋" w:eastAsia="仿宋" w:cs="仿宋"/>
        </w:rPr>
        <w:t>中选人为合作项目提供秩序安保服务，具体服务范围如下：</w:t>
      </w:r>
    </w:p>
    <w:p w14:paraId="1DEC3EF6">
      <w:pPr>
        <w:adjustRightInd w:val="0"/>
        <w:spacing w:line="360" w:lineRule="auto"/>
        <w:rPr>
          <w:rFonts w:hint="eastAsia" w:ascii="仿宋" w:hAnsi="仿宋" w:eastAsia="仿宋" w:cs="仿宋"/>
        </w:rPr>
      </w:pPr>
      <w:r>
        <w:rPr>
          <w:rFonts w:hint="eastAsia" w:ascii="仿宋" w:hAnsi="仿宋" w:eastAsia="仿宋" w:cs="仿宋"/>
        </w:rPr>
        <w:t>1、安全管理：包括但不限于24小时公区治安与消防巡逻、安全监控、秩序维护、公共区域财产安全维护；安全注意事项提示及安全管理宣导、培训；制定安全巡视、安全管控、隐患排查、隐患防控整改方案并实施；安防、消防及紧急求助等报警核查处置；安全事故的处理及涉及安全方面的外联工作等。</w:t>
      </w:r>
    </w:p>
    <w:p w14:paraId="3EAB23A1">
      <w:pPr>
        <w:adjustRightInd w:val="0"/>
        <w:spacing w:line="360" w:lineRule="auto"/>
        <w:rPr>
          <w:rFonts w:hint="eastAsia" w:ascii="仿宋" w:hAnsi="仿宋" w:eastAsia="仿宋" w:cs="仿宋"/>
        </w:rPr>
      </w:pPr>
      <w:r>
        <w:rPr>
          <w:rFonts w:hint="eastAsia" w:ascii="仿宋" w:hAnsi="仿宋" w:eastAsia="仿宋" w:cs="仿宋"/>
        </w:rPr>
        <w:t>2、消防管理：熟悉消防设备设施、掌握各种消防器材使用方法、组建志愿消防队及协助开展服务区域内消防培训/演习等活动，做好消防法规要求的各项巡查巡检。</w:t>
      </w:r>
    </w:p>
    <w:p w14:paraId="1CCC782F">
      <w:pPr>
        <w:adjustRightInd w:val="0"/>
        <w:spacing w:line="360" w:lineRule="auto"/>
        <w:rPr>
          <w:rFonts w:hint="eastAsia" w:ascii="仿宋" w:hAnsi="仿宋" w:eastAsia="仿宋" w:cs="仿宋"/>
        </w:rPr>
      </w:pPr>
      <w:r>
        <w:rPr>
          <w:rFonts w:hint="eastAsia" w:ascii="仿宋" w:hAnsi="仿宋" w:eastAsia="仿宋" w:cs="仿宋"/>
        </w:rPr>
        <w:t>3、出入管理：业主进出服务以及外来访客、施工人员、工作人员等的出入管控及车辆、物品进出核实登记及管理。</w:t>
      </w:r>
    </w:p>
    <w:p w14:paraId="3D83BF35">
      <w:pPr>
        <w:adjustRightInd w:val="0"/>
        <w:spacing w:line="360" w:lineRule="auto"/>
        <w:rPr>
          <w:rFonts w:hint="eastAsia" w:ascii="仿宋" w:hAnsi="仿宋" w:eastAsia="仿宋" w:cs="仿宋"/>
        </w:rPr>
      </w:pPr>
      <w:r>
        <w:rPr>
          <w:rFonts w:hint="eastAsia" w:ascii="仿宋" w:hAnsi="仿宋" w:eastAsia="仿宋" w:cs="仿宋"/>
        </w:rPr>
        <w:t>4、车辆管理：车辆登记、进出控制、疏导及指引，交通与车辆停放秩序的管理。</w:t>
      </w:r>
    </w:p>
    <w:p w14:paraId="622CDB63">
      <w:pPr>
        <w:adjustRightInd w:val="0"/>
        <w:spacing w:line="360" w:lineRule="auto"/>
        <w:rPr>
          <w:rFonts w:hint="eastAsia" w:ascii="仿宋" w:hAnsi="仿宋" w:eastAsia="仿宋" w:cs="仿宋"/>
        </w:rPr>
      </w:pPr>
      <w:r>
        <w:rPr>
          <w:rFonts w:hint="eastAsia" w:ascii="仿宋" w:hAnsi="仿宋" w:eastAsia="仿宋" w:cs="仿宋"/>
        </w:rPr>
        <w:t>5、紧急事件处理：现场控制、急救、通知相关部门及采取措施防止事态扩大等。</w:t>
      </w:r>
    </w:p>
    <w:p w14:paraId="5265F1BD">
      <w:pPr>
        <w:adjustRightInd w:val="0"/>
        <w:spacing w:line="360" w:lineRule="auto"/>
        <w:rPr>
          <w:rFonts w:hint="eastAsia" w:ascii="仿宋" w:hAnsi="仿宋" w:eastAsia="仿宋" w:cs="仿宋"/>
        </w:rPr>
      </w:pPr>
      <w:r>
        <w:rPr>
          <w:rFonts w:hint="eastAsia" w:ascii="仿宋" w:hAnsi="仿宋" w:eastAsia="仿宋" w:cs="仿宋"/>
        </w:rPr>
        <w:t>6、对外联系：涉及公安派出所、国安局、街道办事处、消防管理部门等单位，配合比选人进行。</w:t>
      </w:r>
    </w:p>
    <w:p w14:paraId="7721B671">
      <w:pPr>
        <w:adjustRightInd w:val="0"/>
        <w:spacing w:line="360" w:lineRule="auto"/>
        <w:rPr>
          <w:rFonts w:hint="eastAsia" w:ascii="仿宋" w:hAnsi="仿宋" w:eastAsia="仿宋" w:cs="仿宋"/>
        </w:rPr>
      </w:pPr>
      <w:r>
        <w:rPr>
          <w:rFonts w:hint="eastAsia" w:ascii="仿宋" w:hAnsi="仿宋" w:eastAsia="仿宋" w:cs="仿宋"/>
        </w:rPr>
        <w:t>7、钥匙管理：服务区域公共区域、通道及秩序类值班室、设备房等钥匙管理。</w:t>
      </w:r>
    </w:p>
    <w:p w14:paraId="00E70C49">
      <w:pPr>
        <w:adjustRightInd w:val="0"/>
        <w:spacing w:line="360" w:lineRule="auto"/>
        <w:rPr>
          <w:rFonts w:hint="eastAsia" w:ascii="仿宋" w:hAnsi="仿宋" w:eastAsia="仿宋" w:cs="仿宋"/>
        </w:rPr>
      </w:pPr>
      <w:r>
        <w:rPr>
          <w:rFonts w:hint="eastAsia" w:ascii="仿宋" w:hAnsi="仿宋" w:eastAsia="仿宋" w:cs="仿宋"/>
        </w:rPr>
        <w:t>8、协助公安机关处理服务区域内发生的治安、刑事案件。</w:t>
      </w:r>
    </w:p>
    <w:p w14:paraId="6A4E2EB7">
      <w:pPr>
        <w:adjustRightInd w:val="0"/>
        <w:spacing w:line="360" w:lineRule="auto"/>
        <w:rPr>
          <w:rFonts w:hint="eastAsia" w:ascii="仿宋" w:hAnsi="仿宋" w:eastAsia="仿宋" w:cs="仿宋"/>
        </w:rPr>
      </w:pPr>
      <w:r>
        <w:rPr>
          <w:rFonts w:hint="eastAsia" w:ascii="仿宋" w:hAnsi="仿宋" w:eastAsia="仿宋" w:cs="仿宋"/>
        </w:rPr>
        <w:t>9、门禁、车管、周界报警、监控等安全防护设施的管理与维护。</w:t>
      </w:r>
    </w:p>
    <w:p w14:paraId="35E13F9B">
      <w:pPr>
        <w:adjustRightInd w:val="0"/>
        <w:spacing w:line="360" w:lineRule="auto"/>
        <w:rPr>
          <w:rFonts w:hint="eastAsia" w:ascii="仿宋" w:hAnsi="仿宋" w:eastAsia="仿宋" w:cs="仿宋"/>
        </w:rPr>
      </w:pPr>
      <w:r>
        <w:rPr>
          <w:rFonts w:hint="eastAsia" w:ascii="仿宋" w:hAnsi="仿宋" w:eastAsia="仿宋" w:cs="仿宋"/>
        </w:rPr>
        <w:t>10、处理与本项目治安、消防、交通、秩序维护及客户服务有关的其他事务。</w:t>
      </w:r>
    </w:p>
    <w:p w14:paraId="4CFE343C">
      <w:pPr>
        <w:pStyle w:val="3"/>
        <w:adjustRightInd w:val="0"/>
        <w:spacing w:before="0" w:after="0" w:line="360" w:lineRule="auto"/>
        <w:ind w:firstLine="482"/>
        <w:rPr>
          <w:rFonts w:hint="eastAsia" w:ascii="仿宋" w:hAnsi="仿宋" w:eastAsia="仿宋" w:cs="仿宋"/>
          <w:sz w:val="24"/>
        </w:rPr>
      </w:pPr>
      <w:r>
        <w:rPr>
          <w:rFonts w:hint="eastAsia" w:ascii="仿宋" w:hAnsi="仿宋" w:eastAsia="仿宋" w:cs="仿宋"/>
          <w:sz w:val="24"/>
        </w:rPr>
        <w:t>※三、</w:t>
      </w:r>
      <w:bookmarkEnd w:id="29"/>
      <w:r>
        <w:rPr>
          <w:rFonts w:hint="eastAsia" w:ascii="仿宋" w:hAnsi="仿宋" w:eastAsia="仿宋" w:cs="仿宋"/>
          <w:sz w:val="24"/>
        </w:rPr>
        <w:t>人员要求</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7567"/>
      </w:tblGrid>
      <w:tr w14:paraId="58FA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3" w:type="dxa"/>
            <w:noWrap w:val="0"/>
            <w:vAlign w:val="center"/>
          </w:tcPr>
          <w:p w14:paraId="3F004448">
            <w:pPr>
              <w:spacing w:line="240" w:lineRule="auto"/>
              <w:ind w:firstLine="0" w:firstLineChars="0"/>
              <w:jc w:val="center"/>
              <w:rPr>
                <w:rFonts w:hint="eastAsia" w:ascii="宋体" w:hAnsi="宋体" w:eastAsia="宋体" w:cs="方正仿宋_GBK"/>
                <w:b/>
                <w:bCs/>
                <w:kern w:val="0"/>
                <w:sz w:val="21"/>
                <w:szCs w:val="21"/>
              </w:rPr>
            </w:pPr>
            <w:r>
              <w:rPr>
                <w:rFonts w:hint="eastAsia" w:ascii="宋体" w:hAnsi="宋体" w:cs="方正仿宋_GBK"/>
                <w:sz w:val="21"/>
                <w:szCs w:val="21"/>
                <w:lang w:bidi="ar"/>
              </w:rPr>
              <w:t>类别</w:t>
            </w:r>
          </w:p>
        </w:tc>
        <w:tc>
          <w:tcPr>
            <w:tcW w:w="7567" w:type="dxa"/>
            <w:noWrap w:val="0"/>
            <w:vAlign w:val="center"/>
          </w:tcPr>
          <w:p w14:paraId="7CF0F0CA">
            <w:pPr>
              <w:spacing w:line="240" w:lineRule="auto"/>
              <w:ind w:firstLine="0" w:firstLineChars="0"/>
              <w:jc w:val="center"/>
              <w:rPr>
                <w:rFonts w:ascii="宋体" w:hAnsi="宋体" w:eastAsia="宋体" w:cs="方正仿宋_GBK"/>
                <w:b/>
                <w:bCs/>
                <w:kern w:val="0"/>
                <w:sz w:val="21"/>
                <w:szCs w:val="21"/>
              </w:rPr>
            </w:pPr>
            <w:r>
              <w:rPr>
                <w:rFonts w:hint="eastAsia" w:ascii="宋体" w:hAnsi="宋体" w:cs="方正仿宋_GBK"/>
                <w:sz w:val="21"/>
                <w:szCs w:val="21"/>
                <w:lang w:bidi="ar"/>
              </w:rPr>
              <w:t>人员配置标准</w:t>
            </w:r>
          </w:p>
        </w:tc>
      </w:tr>
      <w:tr w14:paraId="24BB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493" w:type="dxa"/>
            <w:noWrap w:val="0"/>
            <w:vAlign w:val="center"/>
          </w:tcPr>
          <w:p w14:paraId="636C3A6D">
            <w:pPr>
              <w:spacing w:line="240" w:lineRule="auto"/>
              <w:ind w:firstLine="0" w:firstLineChars="0"/>
              <w:jc w:val="center"/>
              <w:rPr>
                <w:rFonts w:hint="eastAsia" w:ascii="宋体" w:hAnsi="宋体" w:eastAsia="宋体" w:cs="方正仿宋_GBK"/>
                <w:b/>
                <w:bCs/>
                <w:kern w:val="0"/>
                <w:szCs w:val="21"/>
              </w:rPr>
            </w:pPr>
            <w:r>
              <w:rPr>
                <w:rFonts w:hint="eastAsia" w:ascii="宋体" w:hAnsi="宋体" w:cs="方正仿宋_GBK"/>
                <w:sz w:val="21"/>
                <w:szCs w:val="21"/>
                <w:lang w:bidi="ar"/>
              </w:rPr>
              <w:t>商业/办公</w:t>
            </w:r>
          </w:p>
        </w:tc>
        <w:tc>
          <w:tcPr>
            <w:tcW w:w="7567" w:type="dxa"/>
            <w:noWrap w:val="0"/>
            <w:vAlign w:val="center"/>
          </w:tcPr>
          <w:p w14:paraId="20A7D44A">
            <w:pPr>
              <w:spacing w:line="240" w:lineRule="auto"/>
              <w:ind w:firstLine="0" w:firstLineChars="0"/>
              <w:rPr>
                <w:rFonts w:hint="eastAsia" w:ascii="宋体" w:hAnsi="宋体" w:cs="方正仿宋_GBK"/>
                <w:sz w:val="21"/>
                <w:szCs w:val="21"/>
                <w:lang w:bidi="ar"/>
              </w:rPr>
            </w:pPr>
            <w:r>
              <w:rPr>
                <w:rFonts w:hint="eastAsia" w:ascii="宋体" w:hAnsi="宋体" w:cs="方正仿宋_GBK"/>
                <w:sz w:val="21"/>
                <w:szCs w:val="21"/>
                <w:lang w:bidi="ar"/>
              </w:rPr>
              <w:t>一、安全综合主管1人。限男性，具备1年以上同行业工作经验</w:t>
            </w:r>
            <w:r>
              <w:rPr>
                <w:rFonts w:hint="eastAsia" w:ascii="宋体" w:hAnsi="宋体" w:cs="方正仿宋_GBK"/>
                <w:sz w:val="21"/>
                <w:szCs w:val="21"/>
                <w:lang w:eastAsia="zh-CN" w:bidi="ar"/>
              </w:rPr>
              <w:t>，</w:t>
            </w:r>
            <w:r>
              <w:rPr>
                <w:rFonts w:hint="eastAsia" w:ascii="宋体" w:hAnsi="宋体" w:cs="方正仿宋_GBK"/>
                <w:sz w:val="21"/>
                <w:szCs w:val="21"/>
                <w:lang w:bidi="ar"/>
              </w:rPr>
              <w:t>年龄18至55岁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包含55周岁</w:t>
            </w:r>
            <w:r>
              <w:rPr>
                <w:rFonts w:hint="eastAsia" w:ascii="宋体" w:hAnsi="宋体" w:cs="方正仿宋_GBK"/>
                <w:sz w:val="21"/>
                <w:szCs w:val="21"/>
                <w:lang w:eastAsia="zh-CN" w:bidi="ar"/>
              </w:rPr>
              <w:t>）</w:t>
            </w:r>
            <w:r>
              <w:rPr>
                <w:rFonts w:hint="eastAsia" w:ascii="宋体" w:hAnsi="宋体" w:cs="方正仿宋_GBK"/>
                <w:sz w:val="21"/>
                <w:szCs w:val="21"/>
                <w:lang w:bidi="ar"/>
              </w:rPr>
              <w:t>，男性身高1.70米以上。</w:t>
            </w:r>
          </w:p>
          <w:p w14:paraId="5124B55F">
            <w:pPr>
              <w:spacing w:line="240" w:lineRule="auto"/>
              <w:ind w:firstLine="0" w:firstLineChars="0"/>
              <w:rPr>
                <w:rFonts w:hint="eastAsia" w:ascii="宋体" w:hAnsi="宋体" w:cs="方正仿宋_GBK"/>
                <w:sz w:val="21"/>
                <w:szCs w:val="21"/>
                <w:lang w:bidi="ar"/>
              </w:rPr>
            </w:pPr>
            <w:r>
              <w:rPr>
                <w:rFonts w:hint="eastAsia" w:ascii="宋体" w:hAnsi="宋体" w:cs="方正仿宋_GBK"/>
                <w:sz w:val="21"/>
                <w:szCs w:val="21"/>
                <w:lang w:bidi="ar"/>
              </w:rPr>
              <w:t>二、中控室4人。限男性，年龄18至58岁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ascii="宋体" w:hAnsi="宋体" w:cs="方正仿宋_GBK"/>
                <w:sz w:val="21"/>
                <w:szCs w:val="21"/>
                <w:lang w:bidi="ar"/>
              </w:rPr>
              <w:t>，身高1.70米以上。</w:t>
            </w:r>
          </w:p>
          <w:p w14:paraId="7D5AE93A">
            <w:pPr>
              <w:spacing w:line="240" w:lineRule="auto"/>
              <w:ind w:firstLine="0" w:firstLineChars="0"/>
              <w:rPr>
                <w:rFonts w:hint="eastAsia" w:ascii="宋体" w:hAnsi="宋体" w:cs="方正仿宋_GBK"/>
                <w:sz w:val="21"/>
                <w:szCs w:val="21"/>
                <w:lang w:bidi="ar"/>
              </w:rPr>
            </w:pPr>
            <w:r>
              <w:rPr>
                <w:rFonts w:hint="eastAsia" w:ascii="宋体" w:hAnsi="宋体" w:cs="方正仿宋_GBK"/>
                <w:sz w:val="21"/>
                <w:szCs w:val="21"/>
                <w:lang w:bidi="ar"/>
              </w:rPr>
              <w:t>三、形象岗2人。年龄 18 至 40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包含40周岁</w:t>
            </w:r>
            <w:r>
              <w:rPr>
                <w:rFonts w:hint="eastAsia" w:ascii="宋体" w:hAnsi="宋体" w:cs="方正仿宋_GBK"/>
                <w:sz w:val="21"/>
                <w:szCs w:val="21"/>
                <w:lang w:eastAsia="zh-CN" w:bidi="ar"/>
              </w:rPr>
              <w:t>）</w:t>
            </w:r>
            <w:r>
              <w:rPr>
                <w:rFonts w:hint="eastAsia" w:ascii="宋体" w:hAnsi="宋体" w:cs="方正仿宋_GBK"/>
                <w:sz w:val="21"/>
                <w:szCs w:val="21"/>
                <w:lang w:bidi="ar"/>
              </w:rPr>
              <w:t>，高中及以上学历，男性身高 1.75 米以上，女性身高1.65米以上，具有相关工作经验</w:t>
            </w:r>
            <w:r>
              <w:rPr>
                <w:rFonts w:hint="eastAsia" w:ascii="宋体" w:hAnsi="宋体" w:cs="方正仿宋_GBK"/>
                <w:sz w:val="21"/>
                <w:szCs w:val="21"/>
                <w:lang w:eastAsia="zh-CN" w:bidi="ar"/>
              </w:rPr>
              <w:t>。</w:t>
            </w:r>
          </w:p>
          <w:p w14:paraId="1D598CA4">
            <w:pPr>
              <w:spacing w:line="240" w:lineRule="auto"/>
              <w:ind w:firstLine="0" w:firstLineChars="0"/>
              <w:rPr>
                <w:rFonts w:hint="eastAsia" w:ascii="宋体" w:hAnsi="宋体" w:cs="方正仿宋_GBK"/>
                <w:sz w:val="21"/>
                <w:szCs w:val="21"/>
                <w:lang w:bidi="ar"/>
              </w:rPr>
            </w:pPr>
            <w:r>
              <w:rPr>
                <w:rFonts w:hint="eastAsia" w:ascii="宋体" w:hAnsi="宋体" w:cs="方正仿宋_GBK"/>
                <w:sz w:val="21"/>
                <w:szCs w:val="21"/>
                <w:lang w:bidi="ar"/>
              </w:rPr>
              <w:t>四、秩序员3人。男性年龄 18 至 58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ascii="宋体" w:hAnsi="宋体" w:cs="方正仿宋_GBK"/>
                <w:sz w:val="21"/>
                <w:szCs w:val="21"/>
                <w:lang w:bidi="ar"/>
              </w:rPr>
              <w:t>，身高 1.70 米以上，女性年龄 18-45岁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包含45周岁</w:t>
            </w:r>
            <w:r>
              <w:rPr>
                <w:rFonts w:hint="eastAsia" w:ascii="宋体" w:hAnsi="宋体" w:cs="方正仿宋_GBK"/>
                <w:sz w:val="21"/>
                <w:szCs w:val="21"/>
                <w:lang w:eastAsia="zh-CN" w:bidi="ar"/>
              </w:rPr>
              <w:t>）</w:t>
            </w:r>
            <w:r>
              <w:rPr>
                <w:rFonts w:hint="eastAsia" w:ascii="宋体" w:hAnsi="宋体" w:cs="方正仿宋_GBK"/>
                <w:sz w:val="21"/>
                <w:szCs w:val="21"/>
                <w:lang w:bidi="ar"/>
              </w:rPr>
              <w:t>，身高 1.60 米以上，初中及以上学历，具有相关工作经验。</w:t>
            </w:r>
          </w:p>
          <w:p w14:paraId="391962A2">
            <w:pPr>
              <w:spacing w:line="240" w:lineRule="auto"/>
              <w:ind w:firstLine="420" w:firstLineChars="200"/>
              <w:rPr>
                <w:rFonts w:ascii="宋体" w:hAnsi="宋体" w:cs="方正仿宋_GBK"/>
                <w:b/>
                <w:bCs/>
                <w:kern w:val="0"/>
                <w:szCs w:val="21"/>
              </w:rPr>
            </w:pPr>
            <w:r>
              <w:rPr>
                <w:rFonts w:hint="eastAsia" w:ascii="宋体" w:hAnsi="宋体" w:cs="方正仿宋_GBK"/>
                <w:sz w:val="21"/>
                <w:szCs w:val="21"/>
                <w:lang w:bidi="ar"/>
              </w:rPr>
              <w:t>特别说明：关于本项目</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文件中年龄的相关表述，全部按照此例进行计算年龄，例：</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文件中要求人员为18-60岁（含60周岁），若</w:t>
            </w:r>
            <w:r>
              <w:rPr>
                <w:rFonts w:hint="eastAsia" w:ascii="宋体" w:hAnsi="宋体" w:cs="方正仿宋_GBK"/>
                <w:sz w:val="21"/>
                <w:szCs w:val="21"/>
                <w:lang w:val="en-US" w:eastAsia="zh-CN" w:bidi="ar"/>
              </w:rPr>
              <w:t>竞选人</w:t>
            </w:r>
            <w:r>
              <w:rPr>
                <w:rFonts w:hint="eastAsia" w:ascii="宋体" w:hAnsi="宋体" w:cs="方正仿宋_GBK"/>
                <w:sz w:val="21"/>
                <w:szCs w:val="21"/>
                <w:lang w:bidi="ar"/>
              </w:rPr>
              <w:t>拟派人员为60岁零9个月，则均属于60周岁范畴。</w:t>
            </w:r>
          </w:p>
        </w:tc>
      </w:tr>
    </w:tbl>
    <w:p w14:paraId="338AEAD4">
      <w:pPr>
        <w:pStyle w:val="3"/>
        <w:adjustRightInd w:val="0"/>
        <w:spacing w:before="0" w:after="0" w:line="360" w:lineRule="auto"/>
        <w:ind w:firstLine="482"/>
        <w:rPr>
          <w:rFonts w:hint="eastAsia" w:ascii="仿宋" w:hAnsi="仿宋" w:eastAsia="仿宋" w:cs="仿宋"/>
          <w:sz w:val="24"/>
        </w:rPr>
      </w:pPr>
      <w:r>
        <w:rPr>
          <w:rFonts w:hint="eastAsia" w:ascii="仿宋" w:hAnsi="仿宋" w:eastAsia="仿宋" w:cs="仿宋"/>
          <w:sz w:val="24"/>
        </w:rPr>
        <w:t>※四、服务品质考核</w:t>
      </w:r>
    </w:p>
    <w:p w14:paraId="32F5724A">
      <w:pPr>
        <w:autoSpaceDE w:val="0"/>
        <w:autoSpaceDN w:val="0"/>
        <w:spacing w:before="67"/>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一</w:t>
      </w:r>
      <w:r>
        <w:rPr>
          <w:rFonts w:hint="eastAsia" w:ascii="宋体" w:hAnsi="宋体" w:cs="宋体"/>
          <w:szCs w:val="21"/>
          <w:lang w:eastAsia="zh-CN"/>
        </w:rPr>
        <w:t>）</w:t>
      </w:r>
      <w:r>
        <w:rPr>
          <w:rFonts w:hint="eastAsia" w:ascii="宋体" w:hAnsi="宋体" w:cs="宋体"/>
          <w:szCs w:val="21"/>
        </w:rPr>
        <w:t>考核办法及支付依据</w:t>
      </w:r>
    </w:p>
    <w:p w14:paraId="2EE90096">
      <w:pPr>
        <w:pStyle w:val="240"/>
        <w:numPr>
          <w:ilvl w:val="0"/>
          <w:numId w:val="0"/>
        </w:numPr>
        <w:tabs>
          <w:tab w:val="left" w:pos="1181"/>
        </w:tabs>
        <w:autoSpaceDE w:val="0"/>
        <w:autoSpaceDN w:val="0"/>
        <w:spacing w:before="158"/>
        <w:ind w:firstLine="480" w:firstLineChars="200"/>
        <w:jc w:val="left"/>
        <w:rPr>
          <w:rFonts w:ascii="宋体" w:hAnsi="宋体" w:cs="宋体"/>
          <w:szCs w:val="21"/>
        </w:rPr>
      </w:pPr>
      <w:r>
        <w:rPr>
          <w:rFonts w:hint="eastAsia"/>
          <w:bCs/>
          <w:szCs w:val="21"/>
        </w:rPr>
        <w:t>1、</w:t>
      </w:r>
      <w:r>
        <w:rPr>
          <w:rFonts w:hint="eastAsia" w:ascii="宋体" w:hAnsi="宋体" w:cs="宋体"/>
          <w:szCs w:val="21"/>
        </w:rPr>
        <w:t>考核等级划分：</w:t>
      </w:r>
    </w:p>
    <w:p w14:paraId="177FC9AE">
      <w:pPr>
        <w:autoSpaceDE w:val="0"/>
        <w:autoSpaceDN w:val="0"/>
        <w:spacing w:before="160" w:after="5" w:line="362" w:lineRule="auto"/>
        <w:ind w:right="559" w:firstLine="456"/>
        <w:jc w:val="left"/>
        <w:rPr>
          <w:rFonts w:ascii="宋体" w:hAnsi="宋体" w:cs="宋体"/>
          <w:szCs w:val="21"/>
        </w:rPr>
      </w:pPr>
      <w:r>
        <w:rPr>
          <w:rFonts w:hint="eastAsia" w:ascii="宋体" w:hAnsi="宋体" w:cs="宋体"/>
          <w:spacing w:val="-6"/>
          <w:szCs w:val="21"/>
        </w:rPr>
        <w:t>比选人按月对中选人进行考核，以服务标准为依据并根据考核表进行打分，秩序服务项目外包方考</w:t>
      </w:r>
      <w:r>
        <w:rPr>
          <w:rFonts w:hint="eastAsia" w:ascii="宋体" w:hAnsi="宋体" w:cs="宋体"/>
          <w:spacing w:val="-13"/>
          <w:szCs w:val="21"/>
        </w:rPr>
        <w:t xml:space="preserve">核评分表总分为 </w:t>
      </w:r>
      <w:r>
        <w:rPr>
          <w:rFonts w:hint="eastAsia" w:ascii="宋体" w:hAnsi="宋体" w:cs="宋体"/>
          <w:szCs w:val="21"/>
        </w:rPr>
        <w:t>100</w:t>
      </w:r>
      <w:r>
        <w:rPr>
          <w:rFonts w:hint="eastAsia" w:ascii="宋体" w:hAnsi="宋体" w:cs="宋体"/>
          <w:spacing w:val="-8"/>
          <w:szCs w:val="21"/>
        </w:rPr>
        <w:t xml:space="preserve"> 分，优秀、合格及不合格考核分值标准，见下表：</w:t>
      </w:r>
    </w:p>
    <w:tbl>
      <w:tblPr>
        <w:tblStyle w:val="58"/>
        <w:tblW w:w="8890" w:type="dxa"/>
        <w:tblInd w:w="2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410"/>
        <w:gridCol w:w="2243"/>
        <w:gridCol w:w="2199"/>
        <w:gridCol w:w="2228"/>
      </w:tblGrid>
      <w:tr w14:paraId="2445E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10" w:type="dxa"/>
            <w:vMerge w:val="restart"/>
            <w:noWrap w:val="0"/>
            <w:vAlign w:val="center"/>
          </w:tcPr>
          <w:p w14:paraId="5599E97C">
            <w:pPr>
              <w:pStyle w:val="241"/>
              <w:autoSpaceDE w:val="0"/>
              <w:autoSpaceDN w:val="0"/>
              <w:spacing w:before="208"/>
              <w:ind w:left="88" w:firstLine="0" w:firstLineChars="0"/>
              <w:jc w:val="center"/>
              <w:rPr>
                <w:rFonts w:ascii="宋体" w:hAnsi="宋体" w:cs="宋体"/>
                <w:sz w:val="21"/>
                <w:szCs w:val="21"/>
              </w:rPr>
            </w:pPr>
            <w:r>
              <w:rPr>
                <w:rFonts w:hint="eastAsia" w:ascii="宋体" w:hAnsi="宋体" w:cs="宋体"/>
                <w:sz w:val="21"/>
                <w:szCs w:val="21"/>
              </w:rPr>
              <w:t>序号</w:t>
            </w:r>
          </w:p>
        </w:tc>
        <w:tc>
          <w:tcPr>
            <w:tcW w:w="1410" w:type="dxa"/>
            <w:vMerge w:val="restart"/>
            <w:noWrap w:val="0"/>
            <w:vAlign w:val="center"/>
          </w:tcPr>
          <w:p w14:paraId="1BCEBD9D">
            <w:pPr>
              <w:pStyle w:val="241"/>
              <w:autoSpaceDE w:val="0"/>
              <w:autoSpaceDN w:val="0"/>
              <w:spacing w:before="50" w:line="362" w:lineRule="auto"/>
              <w:ind w:left="107" w:right="101" w:firstLine="0" w:firstLineChars="0"/>
              <w:rPr>
                <w:rFonts w:ascii="宋体" w:hAnsi="宋体" w:cs="宋体"/>
                <w:sz w:val="21"/>
                <w:szCs w:val="21"/>
              </w:rPr>
            </w:pPr>
            <w:r>
              <w:rPr>
                <w:rFonts w:hint="eastAsia" w:ascii="宋体" w:hAnsi="宋体" w:cs="宋体"/>
                <w:sz w:val="21"/>
                <w:szCs w:val="21"/>
              </w:rPr>
              <w:t>考核总分值</w:t>
            </w:r>
          </w:p>
        </w:tc>
        <w:tc>
          <w:tcPr>
            <w:tcW w:w="6670" w:type="dxa"/>
            <w:gridSpan w:val="3"/>
            <w:noWrap w:val="0"/>
            <w:vAlign w:val="center"/>
          </w:tcPr>
          <w:p w14:paraId="7F020B63">
            <w:pPr>
              <w:pStyle w:val="241"/>
              <w:autoSpaceDE w:val="0"/>
              <w:autoSpaceDN w:val="0"/>
              <w:ind w:left="2725" w:right="2722" w:firstLine="0" w:firstLineChars="0"/>
              <w:jc w:val="center"/>
              <w:rPr>
                <w:rFonts w:ascii="宋体" w:hAnsi="宋体" w:cs="宋体"/>
                <w:sz w:val="21"/>
                <w:szCs w:val="21"/>
              </w:rPr>
            </w:pPr>
            <w:r>
              <w:rPr>
                <w:rFonts w:hint="eastAsia" w:ascii="宋体" w:hAnsi="宋体" w:cs="宋体"/>
                <w:sz w:val="21"/>
                <w:szCs w:val="21"/>
              </w:rPr>
              <w:t>分值区间</w:t>
            </w:r>
          </w:p>
        </w:tc>
      </w:tr>
      <w:tr w14:paraId="43476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10" w:type="dxa"/>
            <w:vMerge w:val="continue"/>
            <w:tcBorders>
              <w:top w:val="nil"/>
            </w:tcBorders>
            <w:noWrap w:val="0"/>
            <w:vAlign w:val="center"/>
          </w:tcPr>
          <w:p w14:paraId="3F090563">
            <w:pPr>
              <w:autoSpaceDE w:val="0"/>
              <w:autoSpaceDN w:val="0"/>
              <w:ind w:firstLine="0" w:firstLineChars="0"/>
              <w:jc w:val="center"/>
              <w:rPr>
                <w:rFonts w:ascii="宋体" w:hAnsi="宋体" w:cs="宋体"/>
                <w:szCs w:val="21"/>
              </w:rPr>
            </w:pPr>
          </w:p>
        </w:tc>
        <w:tc>
          <w:tcPr>
            <w:tcW w:w="1410" w:type="dxa"/>
            <w:vMerge w:val="continue"/>
            <w:tcBorders>
              <w:top w:val="nil"/>
            </w:tcBorders>
            <w:noWrap w:val="0"/>
            <w:vAlign w:val="center"/>
          </w:tcPr>
          <w:p w14:paraId="7DB566AA">
            <w:pPr>
              <w:autoSpaceDE w:val="0"/>
              <w:autoSpaceDN w:val="0"/>
              <w:ind w:firstLine="0" w:firstLineChars="0"/>
              <w:jc w:val="center"/>
              <w:rPr>
                <w:rFonts w:ascii="宋体" w:hAnsi="宋体" w:cs="宋体"/>
                <w:szCs w:val="21"/>
              </w:rPr>
            </w:pPr>
          </w:p>
        </w:tc>
        <w:tc>
          <w:tcPr>
            <w:tcW w:w="2243" w:type="dxa"/>
            <w:noWrap w:val="0"/>
            <w:vAlign w:val="center"/>
          </w:tcPr>
          <w:p w14:paraId="0EC60D16">
            <w:pPr>
              <w:pStyle w:val="241"/>
              <w:autoSpaceDE w:val="0"/>
              <w:autoSpaceDN w:val="0"/>
              <w:spacing w:before="48"/>
              <w:ind w:left="750" w:right="750" w:firstLine="0" w:firstLineChars="0"/>
              <w:jc w:val="center"/>
              <w:rPr>
                <w:rFonts w:ascii="宋体" w:hAnsi="宋体" w:cs="宋体"/>
                <w:sz w:val="21"/>
                <w:szCs w:val="21"/>
              </w:rPr>
            </w:pPr>
            <w:r>
              <w:rPr>
                <w:rFonts w:hint="eastAsia" w:ascii="宋体" w:hAnsi="宋体" w:cs="宋体"/>
                <w:sz w:val="21"/>
                <w:szCs w:val="21"/>
              </w:rPr>
              <w:t>优秀</w:t>
            </w:r>
          </w:p>
        </w:tc>
        <w:tc>
          <w:tcPr>
            <w:tcW w:w="2199" w:type="dxa"/>
            <w:noWrap w:val="0"/>
            <w:vAlign w:val="center"/>
          </w:tcPr>
          <w:p w14:paraId="65E3CA2D">
            <w:pPr>
              <w:pStyle w:val="241"/>
              <w:autoSpaceDE w:val="0"/>
              <w:autoSpaceDN w:val="0"/>
              <w:spacing w:before="48"/>
              <w:ind w:left="179" w:right="175" w:firstLine="0" w:firstLineChars="0"/>
              <w:jc w:val="center"/>
              <w:rPr>
                <w:rFonts w:ascii="宋体" w:hAnsi="宋体" w:cs="宋体"/>
                <w:sz w:val="21"/>
                <w:szCs w:val="21"/>
              </w:rPr>
            </w:pPr>
            <w:r>
              <w:rPr>
                <w:rFonts w:hint="eastAsia" w:ascii="宋体" w:hAnsi="宋体" w:cs="宋体"/>
                <w:sz w:val="21"/>
                <w:szCs w:val="21"/>
              </w:rPr>
              <w:t>合格</w:t>
            </w:r>
          </w:p>
        </w:tc>
        <w:tc>
          <w:tcPr>
            <w:tcW w:w="2228" w:type="dxa"/>
            <w:noWrap w:val="0"/>
            <w:vAlign w:val="center"/>
          </w:tcPr>
          <w:p w14:paraId="22F3C372">
            <w:pPr>
              <w:pStyle w:val="241"/>
              <w:autoSpaceDE w:val="0"/>
              <w:autoSpaceDN w:val="0"/>
              <w:spacing w:before="48"/>
              <w:ind w:left="553" w:right="550" w:firstLine="0" w:firstLineChars="0"/>
              <w:jc w:val="center"/>
              <w:rPr>
                <w:rFonts w:ascii="宋体" w:hAnsi="宋体" w:cs="宋体"/>
                <w:sz w:val="21"/>
                <w:szCs w:val="21"/>
              </w:rPr>
            </w:pPr>
            <w:r>
              <w:rPr>
                <w:rFonts w:hint="eastAsia" w:ascii="宋体" w:hAnsi="宋体" w:cs="宋体"/>
                <w:sz w:val="21"/>
                <w:szCs w:val="21"/>
              </w:rPr>
              <w:t>不合格</w:t>
            </w:r>
          </w:p>
        </w:tc>
      </w:tr>
      <w:tr w14:paraId="7DE91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810" w:type="dxa"/>
            <w:noWrap w:val="0"/>
            <w:vAlign w:val="center"/>
          </w:tcPr>
          <w:p w14:paraId="2032CAE3">
            <w:pPr>
              <w:pStyle w:val="241"/>
              <w:autoSpaceDE w:val="0"/>
              <w:autoSpaceDN w:val="0"/>
              <w:ind w:left="4" w:firstLine="0" w:firstLineChars="0"/>
              <w:jc w:val="center"/>
              <w:rPr>
                <w:rFonts w:ascii="宋体" w:hAnsi="宋体" w:cs="宋体"/>
                <w:sz w:val="21"/>
                <w:szCs w:val="21"/>
              </w:rPr>
            </w:pPr>
            <w:r>
              <w:rPr>
                <w:rFonts w:hint="eastAsia" w:ascii="宋体" w:hAnsi="宋体" w:cs="宋体"/>
                <w:sz w:val="21"/>
                <w:szCs w:val="21"/>
              </w:rPr>
              <w:t>1</w:t>
            </w:r>
          </w:p>
        </w:tc>
        <w:tc>
          <w:tcPr>
            <w:tcW w:w="1410" w:type="dxa"/>
            <w:noWrap w:val="0"/>
            <w:vAlign w:val="center"/>
          </w:tcPr>
          <w:p w14:paraId="4B1AD88C">
            <w:pPr>
              <w:pStyle w:val="241"/>
              <w:autoSpaceDE w:val="0"/>
              <w:autoSpaceDN w:val="0"/>
              <w:ind w:left="287" w:firstLine="0" w:firstLineChars="0"/>
              <w:jc w:val="center"/>
              <w:rPr>
                <w:rFonts w:ascii="宋体" w:hAnsi="宋体" w:cs="宋体"/>
                <w:sz w:val="21"/>
                <w:szCs w:val="21"/>
              </w:rPr>
            </w:pPr>
            <w:r>
              <w:rPr>
                <w:rFonts w:hint="eastAsia" w:ascii="宋体" w:hAnsi="宋体" w:cs="宋体"/>
                <w:sz w:val="21"/>
                <w:szCs w:val="21"/>
              </w:rPr>
              <w:t>100</w:t>
            </w:r>
          </w:p>
        </w:tc>
        <w:tc>
          <w:tcPr>
            <w:tcW w:w="2243" w:type="dxa"/>
            <w:noWrap w:val="0"/>
            <w:vAlign w:val="center"/>
          </w:tcPr>
          <w:p w14:paraId="3F9002A8">
            <w:pPr>
              <w:pStyle w:val="241"/>
              <w:autoSpaceDE w:val="0"/>
              <w:autoSpaceDN w:val="0"/>
              <w:ind w:left="109" w:firstLine="0" w:firstLineChars="0"/>
              <w:jc w:val="center"/>
              <w:rPr>
                <w:rFonts w:ascii="宋体" w:hAnsi="宋体" w:cs="宋体"/>
                <w:sz w:val="21"/>
                <w:szCs w:val="21"/>
              </w:rPr>
            </w:pPr>
            <w:r>
              <w:rPr>
                <w:rFonts w:hint="eastAsia" w:ascii="宋体" w:hAnsi="宋体" w:cs="宋体"/>
                <w:sz w:val="21"/>
                <w:szCs w:val="21"/>
              </w:rPr>
              <w:t>95分(含)以上</w:t>
            </w:r>
          </w:p>
        </w:tc>
        <w:tc>
          <w:tcPr>
            <w:tcW w:w="2199" w:type="dxa"/>
            <w:noWrap w:val="0"/>
            <w:vAlign w:val="center"/>
          </w:tcPr>
          <w:p w14:paraId="4F77D26A">
            <w:pPr>
              <w:pStyle w:val="241"/>
              <w:autoSpaceDE w:val="0"/>
              <w:autoSpaceDN w:val="0"/>
              <w:ind w:left="179" w:right="175" w:firstLine="0" w:firstLineChars="0"/>
              <w:jc w:val="center"/>
              <w:rPr>
                <w:rFonts w:ascii="宋体" w:hAnsi="宋体" w:cs="宋体"/>
                <w:sz w:val="21"/>
                <w:szCs w:val="21"/>
              </w:rPr>
            </w:pPr>
            <w:r>
              <w:rPr>
                <w:rFonts w:hint="eastAsia" w:ascii="宋体" w:hAnsi="宋体" w:cs="宋体"/>
                <w:sz w:val="21"/>
                <w:szCs w:val="21"/>
              </w:rPr>
              <w:t>80分(含)以上至95分以下</w:t>
            </w:r>
          </w:p>
        </w:tc>
        <w:tc>
          <w:tcPr>
            <w:tcW w:w="2228" w:type="dxa"/>
            <w:noWrap w:val="0"/>
            <w:vAlign w:val="center"/>
          </w:tcPr>
          <w:p w14:paraId="13FF9579">
            <w:pPr>
              <w:pStyle w:val="241"/>
              <w:autoSpaceDE w:val="0"/>
              <w:autoSpaceDN w:val="0"/>
              <w:ind w:left="553" w:right="550" w:firstLine="0" w:firstLineChars="0"/>
              <w:jc w:val="center"/>
              <w:rPr>
                <w:rFonts w:ascii="宋体" w:hAnsi="宋体" w:cs="宋体"/>
                <w:sz w:val="21"/>
                <w:szCs w:val="21"/>
              </w:rPr>
            </w:pPr>
            <w:r>
              <w:rPr>
                <w:rFonts w:hint="eastAsia" w:ascii="宋体" w:hAnsi="宋体" w:cs="宋体"/>
                <w:sz w:val="21"/>
                <w:szCs w:val="21"/>
              </w:rPr>
              <w:t>80分以下</w:t>
            </w:r>
          </w:p>
        </w:tc>
      </w:tr>
    </w:tbl>
    <w:p w14:paraId="0C69992E">
      <w:pPr>
        <w:pStyle w:val="240"/>
        <w:numPr>
          <w:ilvl w:val="0"/>
          <w:numId w:val="0"/>
        </w:numPr>
        <w:tabs>
          <w:tab w:val="left" w:pos="1181"/>
        </w:tabs>
        <w:autoSpaceDE w:val="0"/>
        <w:autoSpaceDN w:val="0"/>
        <w:spacing w:before="160"/>
        <w:ind w:left="480" w:leftChars="200"/>
        <w:jc w:val="left"/>
        <w:rPr>
          <w:rFonts w:ascii="宋体" w:hAnsi="宋体" w:cs="宋体"/>
          <w:szCs w:val="21"/>
        </w:rPr>
      </w:pPr>
      <w:r>
        <w:rPr>
          <w:rFonts w:hint="eastAsia" w:ascii="宋体" w:hAnsi="宋体" w:cs="宋体"/>
          <w:szCs w:val="21"/>
        </w:rPr>
        <w:t>2、支付依据及考核方式：</w:t>
      </w:r>
    </w:p>
    <w:p w14:paraId="44C0A02D">
      <w:pPr>
        <w:tabs>
          <w:tab w:val="left" w:pos="1560"/>
          <w:tab w:val="right" w:pos="8306"/>
        </w:tabs>
        <w:adjustRightInd w:val="0"/>
        <w:spacing w:line="360" w:lineRule="auto"/>
        <w:ind w:firstLine="240" w:firstLineChars="100"/>
        <w:rPr>
          <w:rFonts w:hint="eastAsia"/>
          <w:bCs/>
          <w:szCs w:val="21"/>
        </w:rPr>
      </w:pPr>
      <w:r>
        <w:rPr>
          <w:rFonts w:hint="eastAsia"/>
          <w:bCs/>
          <w:szCs w:val="21"/>
        </w:rPr>
        <w:t>（1）95分（含）以上按100%支付月度服务费；</w:t>
      </w:r>
    </w:p>
    <w:p w14:paraId="7BF9ABDF">
      <w:pPr>
        <w:numPr>
          <w:ilvl w:val="0"/>
          <w:numId w:val="13"/>
        </w:numPr>
        <w:tabs>
          <w:tab w:val="left" w:pos="1560"/>
          <w:tab w:val="right" w:pos="8306"/>
        </w:tabs>
        <w:adjustRightInd w:val="0"/>
        <w:spacing w:line="360" w:lineRule="auto"/>
        <w:ind w:firstLine="240" w:firstLineChars="100"/>
        <w:rPr>
          <w:rFonts w:hint="eastAsia"/>
          <w:bCs/>
          <w:szCs w:val="21"/>
        </w:rPr>
      </w:pPr>
      <w:r>
        <w:rPr>
          <w:rFonts w:hint="eastAsia"/>
          <w:bCs/>
          <w:szCs w:val="21"/>
        </w:rPr>
        <w:t>评分90（含）-95分，按实际得分百分比支付月度服务费；</w:t>
      </w:r>
    </w:p>
    <w:p w14:paraId="4EE7D478">
      <w:pPr>
        <w:numPr>
          <w:ilvl w:val="0"/>
          <w:numId w:val="13"/>
        </w:numPr>
        <w:tabs>
          <w:tab w:val="left" w:pos="1560"/>
          <w:tab w:val="right" w:pos="8306"/>
        </w:tabs>
        <w:adjustRightInd w:val="0"/>
        <w:spacing w:line="360" w:lineRule="auto"/>
        <w:ind w:firstLine="240" w:firstLineChars="100"/>
        <w:rPr>
          <w:rFonts w:hint="eastAsia"/>
          <w:bCs/>
          <w:szCs w:val="21"/>
        </w:rPr>
      </w:pPr>
      <w:r>
        <w:rPr>
          <w:rFonts w:hint="eastAsia"/>
          <w:bCs/>
          <w:szCs w:val="21"/>
        </w:rPr>
        <w:t>评分85（含）—90分，按实际得分百分比的90%支付月度服务费；</w:t>
      </w:r>
    </w:p>
    <w:p w14:paraId="7B96A1C8">
      <w:pPr>
        <w:tabs>
          <w:tab w:val="left" w:pos="1560"/>
          <w:tab w:val="right" w:pos="8306"/>
        </w:tabs>
        <w:adjustRightInd w:val="0"/>
        <w:spacing w:line="360" w:lineRule="auto"/>
        <w:ind w:firstLine="240" w:firstLineChars="100"/>
        <w:rPr>
          <w:bCs/>
          <w:szCs w:val="21"/>
        </w:rPr>
      </w:pPr>
      <w:r>
        <w:rPr>
          <w:rFonts w:hint="eastAsia"/>
          <w:bCs/>
          <w:szCs w:val="21"/>
        </w:rPr>
        <w:t>（4）评分80（含）—85分，按实际得分百分比的85%支付月度服务费；</w:t>
      </w:r>
    </w:p>
    <w:p w14:paraId="040E1C00">
      <w:pPr>
        <w:tabs>
          <w:tab w:val="right" w:pos="8306"/>
        </w:tabs>
        <w:adjustRightInd w:val="0"/>
        <w:spacing w:line="360" w:lineRule="auto"/>
        <w:rPr>
          <w:bCs/>
          <w:szCs w:val="21"/>
        </w:rPr>
      </w:pPr>
      <w:r>
        <w:rPr>
          <w:rFonts w:hint="eastAsia"/>
          <w:bCs/>
          <w:szCs w:val="21"/>
        </w:rPr>
        <w:t>（5）评分低于80分（不含）按实际得分百分比的80%支付月度服务费，同时比选人有权直接扣除合同履约保证金的10%</w:t>
      </w:r>
      <w:r>
        <w:rPr>
          <w:bCs/>
          <w:szCs w:val="21"/>
        </w:rPr>
        <w:t>，评估得分连续</w:t>
      </w:r>
      <w:r>
        <w:rPr>
          <w:rFonts w:hint="eastAsia"/>
          <w:bCs/>
          <w:szCs w:val="21"/>
        </w:rPr>
        <w:t>3个</w:t>
      </w:r>
      <w:r>
        <w:rPr>
          <w:bCs/>
          <w:szCs w:val="21"/>
        </w:rPr>
        <w:t>月低于80分，则</w:t>
      </w:r>
      <w:r>
        <w:rPr>
          <w:rFonts w:hint="eastAsia"/>
          <w:bCs/>
          <w:szCs w:val="21"/>
        </w:rPr>
        <w:t>比选人</w:t>
      </w:r>
      <w:r>
        <w:rPr>
          <w:bCs/>
          <w:szCs w:val="21"/>
        </w:rPr>
        <w:t>有权单方解除合同。</w:t>
      </w:r>
    </w:p>
    <w:p w14:paraId="4C55340A">
      <w:pPr>
        <w:tabs>
          <w:tab w:val="right" w:pos="8306"/>
        </w:tabs>
        <w:adjustRightInd w:val="0"/>
        <w:spacing w:line="360" w:lineRule="auto"/>
        <w:ind w:firstLine="482"/>
        <w:rPr>
          <w:rFonts w:hint="eastAsia" w:ascii="宋体" w:hAnsi="宋体" w:cs="宋体"/>
          <w:b/>
          <w:szCs w:val="21"/>
        </w:rPr>
      </w:pPr>
      <w:r>
        <w:rPr>
          <w:rFonts w:hint="eastAsia" w:ascii="宋体" w:hAnsi="宋体" w:cs="宋体"/>
          <w:b/>
          <w:szCs w:val="21"/>
          <w:lang w:eastAsia="zh-CN"/>
        </w:rPr>
        <w:t>（</w:t>
      </w:r>
      <w:r>
        <w:rPr>
          <w:rFonts w:hint="eastAsia" w:ascii="宋体" w:hAnsi="宋体" w:cs="宋体"/>
          <w:b/>
          <w:szCs w:val="21"/>
          <w:lang w:val="en-US" w:eastAsia="zh-CN"/>
        </w:rPr>
        <w:t>二</w:t>
      </w:r>
      <w:r>
        <w:rPr>
          <w:rFonts w:hint="eastAsia" w:ascii="宋体" w:hAnsi="宋体" w:cs="宋体"/>
          <w:b/>
          <w:szCs w:val="21"/>
          <w:lang w:eastAsia="zh-CN"/>
        </w:rPr>
        <w:t>）</w:t>
      </w:r>
      <w:r>
        <w:rPr>
          <w:rFonts w:hint="eastAsia" w:ascii="宋体" w:hAnsi="宋体" w:cs="宋体"/>
          <w:b/>
          <w:szCs w:val="21"/>
        </w:rPr>
        <w:t>日常考核标准</w:t>
      </w:r>
    </w:p>
    <w:tbl>
      <w:tblPr>
        <w:tblStyle w:val="58"/>
        <w:tblW w:w="9355" w:type="dxa"/>
        <w:tblInd w:w="427" w:type="dxa"/>
        <w:tblLayout w:type="fixed"/>
        <w:tblCellMar>
          <w:top w:w="0" w:type="dxa"/>
          <w:left w:w="108" w:type="dxa"/>
          <w:bottom w:w="0" w:type="dxa"/>
          <w:right w:w="108" w:type="dxa"/>
        </w:tblCellMar>
      </w:tblPr>
      <w:tblGrid>
        <w:gridCol w:w="709"/>
        <w:gridCol w:w="4819"/>
        <w:gridCol w:w="3827"/>
      </w:tblGrid>
      <w:tr w14:paraId="70596655">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19BBCE6">
            <w:pPr>
              <w:spacing w:line="240" w:lineRule="auto"/>
              <w:ind w:firstLine="0" w:firstLineChars="0"/>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类别</w:t>
            </w:r>
          </w:p>
        </w:tc>
        <w:tc>
          <w:tcPr>
            <w:tcW w:w="4819" w:type="dxa"/>
            <w:tcBorders>
              <w:top w:val="single" w:color="auto" w:sz="4" w:space="0"/>
              <w:left w:val="nil"/>
              <w:bottom w:val="single" w:color="auto" w:sz="4" w:space="0"/>
              <w:right w:val="single" w:color="auto" w:sz="4" w:space="0"/>
            </w:tcBorders>
            <w:noWrap w:val="0"/>
            <w:vAlign w:val="center"/>
          </w:tcPr>
          <w:p w14:paraId="437EF5F8">
            <w:pPr>
              <w:spacing w:line="240" w:lineRule="auto"/>
              <w:ind w:firstLine="0" w:firstLineChars="0"/>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扣款条款</w:t>
            </w:r>
          </w:p>
        </w:tc>
        <w:tc>
          <w:tcPr>
            <w:tcW w:w="3827" w:type="dxa"/>
            <w:tcBorders>
              <w:top w:val="single" w:color="auto" w:sz="4" w:space="0"/>
              <w:left w:val="nil"/>
              <w:bottom w:val="single" w:color="auto" w:sz="4" w:space="0"/>
              <w:right w:val="single" w:color="auto" w:sz="4" w:space="0"/>
            </w:tcBorders>
            <w:noWrap w:val="0"/>
            <w:vAlign w:val="center"/>
          </w:tcPr>
          <w:p w14:paraId="52EF8721">
            <w:pPr>
              <w:spacing w:line="240" w:lineRule="auto"/>
              <w:ind w:firstLine="0" w:firstLineChars="0"/>
              <w:jc w:val="center"/>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sz w:val="21"/>
                <w:szCs w:val="21"/>
              </w:rPr>
              <w:t>扣款额度</w:t>
            </w:r>
          </w:p>
        </w:tc>
      </w:tr>
      <w:tr w14:paraId="4B947EEB">
        <w:tblPrEx>
          <w:tblCellMar>
            <w:top w:w="0" w:type="dxa"/>
            <w:left w:w="108" w:type="dxa"/>
            <w:bottom w:w="0" w:type="dxa"/>
            <w:right w:w="108" w:type="dxa"/>
          </w:tblCellMar>
        </w:tblPrEx>
        <w:trPr>
          <w:trHeight w:val="373" w:hRule="atLeast"/>
        </w:trPr>
        <w:tc>
          <w:tcPr>
            <w:tcW w:w="709" w:type="dxa"/>
            <w:vMerge w:val="restart"/>
            <w:tcBorders>
              <w:top w:val="nil"/>
              <w:left w:val="single" w:color="auto" w:sz="4" w:space="0"/>
              <w:bottom w:val="nil"/>
              <w:right w:val="single" w:color="auto" w:sz="4" w:space="0"/>
            </w:tcBorders>
            <w:noWrap w:val="0"/>
            <w:vAlign w:val="center"/>
          </w:tcPr>
          <w:p w14:paraId="333B7B63">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安全管理</w:t>
            </w:r>
          </w:p>
        </w:tc>
        <w:tc>
          <w:tcPr>
            <w:tcW w:w="4819" w:type="dxa"/>
            <w:tcBorders>
              <w:top w:val="nil"/>
              <w:left w:val="nil"/>
              <w:bottom w:val="single" w:color="auto" w:sz="4" w:space="0"/>
              <w:right w:val="single" w:color="auto" w:sz="4" w:space="0"/>
            </w:tcBorders>
            <w:noWrap w:val="0"/>
            <w:vAlign w:val="center"/>
          </w:tcPr>
          <w:p w14:paraId="316D65F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1.队员在园区内有偷盗行为。</w:t>
            </w:r>
          </w:p>
        </w:tc>
        <w:tc>
          <w:tcPr>
            <w:tcW w:w="3827" w:type="dxa"/>
            <w:tcBorders>
              <w:top w:val="nil"/>
              <w:left w:val="nil"/>
              <w:bottom w:val="single" w:color="auto" w:sz="4" w:space="0"/>
              <w:right w:val="single" w:color="auto" w:sz="4" w:space="0"/>
            </w:tcBorders>
            <w:noWrap w:val="0"/>
            <w:vAlign w:val="center"/>
          </w:tcPr>
          <w:p w14:paraId="31D9E57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考核扣款￥10000元并赔偿。</w:t>
            </w:r>
          </w:p>
        </w:tc>
      </w:tr>
      <w:tr w14:paraId="19BC128E">
        <w:tblPrEx>
          <w:tblCellMar>
            <w:top w:w="0" w:type="dxa"/>
            <w:left w:w="108" w:type="dxa"/>
            <w:bottom w:w="0" w:type="dxa"/>
            <w:right w:w="108" w:type="dxa"/>
          </w:tblCellMar>
        </w:tblPrEx>
        <w:trPr>
          <w:trHeight w:val="209" w:hRule="atLeast"/>
        </w:trPr>
        <w:tc>
          <w:tcPr>
            <w:tcW w:w="709" w:type="dxa"/>
            <w:vMerge w:val="continue"/>
            <w:tcBorders>
              <w:top w:val="nil"/>
              <w:left w:val="single" w:color="auto" w:sz="4" w:space="0"/>
              <w:bottom w:val="nil"/>
              <w:right w:val="single" w:color="auto" w:sz="4" w:space="0"/>
            </w:tcBorders>
            <w:noWrap w:val="0"/>
            <w:vAlign w:val="center"/>
          </w:tcPr>
          <w:p w14:paraId="2373549C">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0BCF306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2.因管理疏忽因素，导致园区内被盗事件。</w:t>
            </w:r>
          </w:p>
        </w:tc>
        <w:tc>
          <w:tcPr>
            <w:tcW w:w="3827" w:type="dxa"/>
            <w:tcBorders>
              <w:top w:val="nil"/>
              <w:left w:val="nil"/>
              <w:bottom w:val="single" w:color="auto" w:sz="4" w:space="0"/>
              <w:right w:val="single" w:color="auto" w:sz="4" w:space="0"/>
            </w:tcBorders>
            <w:noWrap w:val="0"/>
            <w:vAlign w:val="center"/>
          </w:tcPr>
          <w:p w14:paraId="397D7BA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考核扣款￥1000-10000元并赔偿全额损失。</w:t>
            </w:r>
          </w:p>
        </w:tc>
      </w:tr>
      <w:tr w14:paraId="0DEAB261">
        <w:tblPrEx>
          <w:tblCellMar>
            <w:top w:w="0" w:type="dxa"/>
            <w:left w:w="108" w:type="dxa"/>
            <w:bottom w:w="0" w:type="dxa"/>
            <w:right w:w="108" w:type="dxa"/>
          </w:tblCellMar>
        </w:tblPrEx>
        <w:trPr>
          <w:trHeight w:val="326" w:hRule="atLeast"/>
        </w:trPr>
        <w:tc>
          <w:tcPr>
            <w:tcW w:w="709" w:type="dxa"/>
            <w:vMerge w:val="continue"/>
            <w:tcBorders>
              <w:top w:val="nil"/>
              <w:left w:val="single" w:color="auto" w:sz="4" w:space="0"/>
              <w:bottom w:val="nil"/>
              <w:right w:val="single" w:color="auto" w:sz="4" w:space="0"/>
            </w:tcBorders>
            <w:noWrap w:val="0"/>
            <w:vAlign w:val="center"/>
          </w:tcPr>
          <w:p w14:paraId="01B3AF0C">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3BBB542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3.中选人员工在服务项目发生5人以下闹事。</w:t>
            </w:r>
          </w:p>
        </w:tc>
        <w:tc>
          <w:tcPr>
            <w:tcW w:w="3827" w:type="dxa"/>
            <w:tcBorders>
              <w:top w:val="single" w:color="auto" w:sz="4" w:space="0"/>
              <w:left w:val="nil"/>
              <w:bottom w:val="single" w:color="auto" w:sz="4" w:space="0"/>
              <w:right w:val="single" w:color="auto" w:sz="4" w:space="0"/>
            </w:tcBorders>
            <w:noWrap w:val="0"/>
            <w:vAlign w:val="center"/>
          </w:tcPr>
          <w:p w14:paraId="1E8FF4F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发生闹事一次扣款1000元，第二次闹事扣2000元，第三次闹事扣款4000元，以此类推。</w:t>
            </w:r>
          </w:p>
        </w:tc>
      </w:tr>
      <w:tr w14:paraId="0111A215">
        <w:tblPrEx>
          <w:tblCellMar>
            <w:top w:w="0" w:type="dxa"/>
            <w:left w:w="108" w:type="dxa"/>
            <w:bottom w:w="0" w:type="dxa"/>
            <w:right w:w="108" w:type="dxa"/>
          </w:tblCellMar>
        </w:tblPrEx>
        <w:trPr>
          <w:trHeight w:val="326" w:hRule="atLeast"/>
        </w:trPr>
        <w:tc>
          <w:tcPr>
            <w:tcW w:w="709" w:type="dxa"/>
            <w:vMerge w:val="continue"/>
            <w:tcBorders>
              <w:top w:val="nil"/>
              <w:left w:val="single" w:color="auto" w:sz="4" w:space="0"/>
              <w:bottom w:val="nil"/>
              <w:right w:val="single" w:color="auto" w:sz="4" w:space="0"/>
            </w:tcBorders>
            <w:noWrap w:val="0"/>
            <w:vAlign w:val="center"/>
          </w:tcPr>
          <w:p w14:paraId="6FFD6DAF">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290709D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4.中选人派驻员工在服务区域内打架斗殴。</w:t>
            </w:r>
          </w:p>
        </w:tc>
        <w:tc>
          <w:tcPr>
            <w:tcW w:w="3827" w:type="dxa"/>
            <w:tcBorders>
              <w:top w:val="single" w:color="auto" w:sz="4" w:space="0"/>
              <w:left w:val="nil"/>
              <w:bottom w:val="single" w:color="auto" w:sz="4" w:space="0"/>
              <w:right w:val="single" w:color="auto" w:sz="4" w:space="0"/>
            </w:tcBorders>
            <w:noWrap w:val="0"/>
            <w:vAlign w:val="center"/>
          </w:tcPr>
          <w:p w14:paraId="182A8C7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考核扣款￥1000元/次。</w:t>
            </w:r>
          </w:p>
        </w:tc>
      </w:tr>
      <w:tr w14:paraId="2E73D205">
        <w:tblPrEx>
          <w:tblCellMar>
            <w:top w:w="0" w:type="dxa"/>
            <w:left w:w="108" w:type="dxa"/>
            <w:bottom w:w="0" w:type="dxa"/>
            <w:right w:w="108" w:type="dxa"/>
          </w:tblCellMar>
        </w:tblPrEx>
        <w:trPr>
          <w:trHeight w:val="467" w:hRule="atLeast"/>
        </w:trPr>
        <w:tc>
          <w:tcPr>
            <w:tcW w:w="709" w:type="dxa"/>
            <w:vMerge w:val="continue"/>
            <w:tcBorders>
              <w:top w:val="nil"/>
              <w:left w:val="single" w:color="auto" w:sz="4" w:space="0"/>
              <w:bottom w:val="nil"/>
              <w:right w:val="single" w:color="auto" w:sz="4" w:space="0"/>
            </w:tcBorders>
            <w:noWrap w:val="0"/>
            <w:vAlign w:val="center"/>
          </w:tcPr>
          <w:p w14:paraId="0479AD91">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0CD4DBBD">
            <w:pPr>
              <w:spacing w:line="240" w:lineRule="auto"/>
              <w:ind w:firstLine="0" w:firstLineChars="0"/>
              <w:rPr>
                <w:rFonts w:hint="eastAsia" w:ascii="方正仿宋_GBK" w:hAnsi="方正仿宋_GBK" w:eastAsia="方正仿宋_GBK" w:cs="方正仿宋_GBK"/>
                <w:sz w:val="21"/>
                <w:szCs w:val="21"/>
                <w:lang w:val="en-GB"/>
              </w:rPr>
            </w:pPr>
            <w:r>
              <w:rPr>
                <w:rFonts w:hint="eastAsia" w:ascii="方正仿宋_GBK" w:hAnsi="方正仿宋_GBK" w:eastAsia="方正仿宋_GBK" w:cs="方正仿宋_GBK"/>
                <w:sz w:val="21"/>
                <w:szCs w:val="21"/>
                <w:lang w:val="en-GB"/>
              </w:rPr>
              <w:t>5.未按时进行巡逻程序（含消防安全检查和器材巡检）。</w:t>
            </w:r>
          </w:p>
        </w:tc>
        <w:tc>
          <w:tcPr>
            <w:tcW w:w="3827" w:type="dxa"/>
            <w:tcBorders>
              <w:top w:val="nil"/>
              <w:left w:val="nil"/>
              <w:bottom w:val="single" w:color="auto" w:sz="4" w:space="0"/>
              <w:right w:val="single" w:color="auto" w:sz="4" w:space="0"/>
            </w:tcBorders>
            <w:noWrap w:val="0"/>
            <w:vAlign w:val="center"/>
          </w:tcPr>
          <w:p w14:paraId="555E783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考核扣款￥50-100元/次</w:t>
            </w:r>
          </w:p>
        </w:tc>
      </w:tr>
      <w:tr w14:paraId="43064D1C">
        <w:tblPrEx>
          <w:tblCellMar>
            <w:top w:w="0" w:type="dxa"/>
            <w:left w:w="108" w:type="dxa"/>
            <w:bottom w:w="0" w:type="dxa"/>
            <w:right w:w="108" w:type="dxa"/>
          </w:tblCellMar>
        </w:tblPrEx>
        <w:trPr>
          <w:trHeight w:val="333" w:hRule="atLeast"/>
        </w:trPr>
        <w:tc>
          <w:tcPr>
            <w:tcW w:w="709" w:type="dxa"/>
            <w:vMerge w:val="continue"/>
            <w:tcBorders>
              <w:top w:val="nil"/>
              <w:left w:val="single" w:color="auto" w:sz="4" w:space="0"/>
              <w:bottom w:val="nil"/>
              <w:right w:val="single" w:color="auto" w:sz="4" w:space="0"/>
            </w:tcBorders>
            <w:noWrap w:val="0"/>
            <w:vAlign w:val="center"/>
          </w:tcPr>
          <w:p w14:paraId="6E01CD5C">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47901AA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6.未严格执行人员、物品、车辆物品进出管理制度，存在核查管控不严（含比选人及外聘三方机构暗访闯岗测试）。</w:t>
            </w:r>
          </w:p>
        </w:tc>
        <w:tc>
          <w:tcPr>
            <w:tcW w:w="3827" w:type="dxa"/>
            <w:tcBorders>
              <w:top w:val="nil"/>
              <w:left w:val="nil"/>
              <w:bottom w:val="single" w:color="auto" w:sz="4" w:space="0"/>
              <w:right w:val="single" w:color="auto" w:sz="4" w:space="0"/>
            </w:tcBorders>
            <w:noWrap w:val="0"/>
            <w:vAlign w:val="center"/>
          </w:tcPr>
          <w:p w14:paraId="65415A5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考核扣款￥100元/岗/次</w:t>
            </w:r>
          </w:p>
        </w:tc>
      </w:tr>
      <w:tr w14:paraId="79608AA2">
        <w:tblPrEx>
          <w:tblCellMar>
            <w:top w:w="0" w:type="dxa"/>
            <w:left w:w="108" w:type="dxa"/>
            <w:bottom w:w="0" w:type="dxa"/>
            <w:right w:w="108" w:type="dxa"/>
          </w:tblCellMar>
        </w:tblPrEx>
        <w:trPr>
          <w:trHeight w:val="355" w:hRule="atLeast"/>
        </w:trPr>
        <w:tc>
          <w:tcPr>
            <w:tcW w:w="709" w:type="dxa"/>
            <w:vMerge w:val="continue"/>
            <w:tcBorders>
              <w:top w:val="nil"/>
              <w:left w:val="single" w:color="auto" w:sz="4" w:space="0"/>
              <w:bottom w:val="nil"/>
              <w:right w:val="single" w:color="auto" w:sz="4" w:space="0"/>
            </w:tcBorders>
            <w:noWrap w:val="0"/>
            <w:vAlign w:val="center"/>
          </w:tcPr>
          <w:p w14:paraId="16D62241">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2B75A38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7.周界报警、消防报警、电梯困人及紧急求助测试，未按规定时间到达现场或携带装备器材不全的</w:t>
            </w:r>
          </w:p>
        </w:tc>
        <w:tc>
          <w:tcPr>
            <w:tcW w:w="3827" w:type="dxa"/>
            <w:tcBorders>
              <w:top w:val="nil"/>
              <w:left w:val="nil"/>
              <w:bottom w:val="single" w:color="auto" w:sz="4" w:space="0"/>
              <w:right w:val="single" w:color="auto" w:sz="4" w:space="0"/>
            </w:tcBorders>
            <w:noWrap w:val="0"/>
            <w:vAlign w:val="center"/>
          </w:tcPr>
          <w:p w14:paraId="1E95BE0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7982B855">
        <w:tblPrEx>
          <w:tblCellMar>
            <w:top w:w="0" w:type="dxa"/>
            <w:left w:w="108" w:type="dxa"/>
            <w:bottom w:w="0" w:type="dxa"/>
            <w:right w:w="108" w:type="dxa"/>
          </w:tblCellMar>
        </w:tblPrEx>
        <w:trPr>
          <w:trHeight w:val="289" w:hRule="atLeast"/>
        </w:trPr>
        <w:tc>
          <w:tcPr>
            <w:tcW w:w="709" w:type="dxa"/>
            <w:vMerge w:val="continue"/>
            <w:tcBorders>
              <w:top w:val="nil"/>
              <w:left w:val="single" w:color="auto" w:sz="4" w:space="0"/>
              <w:bottom w:val="nil"/>
              <w:right w:val="single" w:color="auto" w:sz="4" w:space="0"/>
            </w:tcBorders>
            <w:noWrap w:val="0"/>
            <w:vAlign w:val="center"/>
          </w:tcPr>
          <w:p w14:paraId="31E03BFB">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5F01B51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8.中控室值班，发现问题没有及时上报或处置的</w:t>
            </w:r>
          </w:p>
        </w:tc>
        <w:tc>
          <w:tcPr>
            <w:tcW w:w="3827" w:type="dxa"/>
            <w:tcBorders>
              <w:top w:val="nil"/>
              <w:left w:val="nil"/>
              <w:bottom w:val="single" w:color="auto" w:sz="4" w:space="0"/>
              <w:right w:val="single" w:color="auto" w:sz="4" w:space="0"/>
            </w:tcBorders>
            <w:noWrap w:val="0"/>
            <w:vAlign w:val="center"/>
          </w:tcPr>
          <w:p w14:paraId="76DC103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考核扣款￥100元/次</w:t>
            </w:r>
          </w:p>
        </w:tc>
      </w:tr>
      <w:tr w14:paraId="47782D8D">
        <w:tblPrEx>
          <w:tblCellMar>
            <w:top w:w="0" w:type="dxa"/>
            <w:left w:w="108" w:type="dxa"/>
            <w:bottom w:w="0" w:type="dxa"/>
            <w:right w:w="108" w:type="dxa"/>
          </w:tblCellMar>
        </w:tblPrEx>
        <w:trPr>
          <w:trHeight w:val="267" w:hRule="atLeast"/>
        </w:trPr>
        <w:tc>
          <w:tcPr>
            <w:tcW w:w="709" w:type="dxa"/>
            <w:vMerge w:val="continue"/>
            <w:tcBorders>
              <w:top w:val="nil"/>
              <w:left w:val="single" w:color="auto" w:sz="4" w:space="0"/>
              <w:bottom w:val="nil"/>
              <w:right w:val="single" w:color="auto" w:sz="4" w:space="0"/>
            </w:tcBorders>
            <w:noWrap w:val="0"/>
            <w:vAlign w:val="center"/>
          </w:tcPr>
          <w:p w14:paraId="7D6FD7EC">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1CA03F3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9.发生突发事件或紧急集合时未按规定时间到达现场</w:t>
            </w:r>
          </w:p>
        </w:tc>
        <w:tc>
          <w:tcPr>
            <w:tcW w:w="3827" w:type="dxa"/>
            <w:tcBorders>
              <w:top w:val="nil"/>
              <w:left w:val="nil"/>
              <w:bottom w:val="single" w:color="auto" w:sz="4" w:space="0"/>
              <w:right w:val="single" w:color="auto" w:sz="4" w:space="0"/>
            </w:tcBorders>
            <w:noWrap w:val="0"/>
            <w:vAlign w:val="center"/>
          </w:tcPr>
          <w:p w14:paraId="08BB1AC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考核扣款￥200元/次</w:t>
            </w:r>
          </w:p>
        </w:tc>
      </w:tr>
      <w:tr w14:paraId="38498290">
        <w:tblPrEx>
          <w:tblCellMar>
            <w:top w:w="0" w:type="dxa"/>
            <w:left w:w="108" w:type="dxa"/>
            <w:bottom w:w="0" w:type="dxa"/>
            <w:right w:w="108" w:type="dxa"/>
          </w:tblCellMar>
        </w:tblPrEx>
        <w:trPr>
          <w:trHeight w:val="267" w:hRule="atLeast"/>
        </w:trPr>
        <w:tc>
          <w:tcPr>
            <w:tcW w:w="709" w:type="dxa"/>
            <w:vMerge w:val="continue"/>
            <w:tcBorders>
              <w:top w:val="nil"/>
              <w:left w:val="single" w:color="auto" w:sz="4" w:space="0"/>
              <w:bottom w:val="nil"/>
              <w:right w:val="single" w:color="auto" w:sz="4" w:space="0"/>
            </w:tcBorders>
            <w:noWrap w:val="0"/>
            <w:vAlign w:val="center"/>
          </w:tcPr>
          <w:p w14:paraId="3232161C">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1F8A954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10.周界入侵测试，成功入侵未完成有效围捕的</w:t>
            </w:r>
          </w:p>
        </w:tc>
        <w:tc>
          <w:tcPr>
            <w:tcW w:w="3827" w:type="dxa"/>
            <w:tcBorders>
              <w:top w:val="nil"/>
              <w:left w:val="nil"/>
              <w:bottom w:val="single" w:color="auto" w:sz="4" w:space="0"/>
              <w:right w:val="single" w:color="auto" w:sz="4" w:space="0"/>
            </w:tcBorders>
            <w:noWrap w:val="0"/>
            <w:vAlign w:val="center"/>
          </w:tcPr>
          <w:p w14:paraId="5291459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考核扣款￥100元/次</w:t>
            </w:r>
          </w:p>
        </w:tc>
      </w:tr>
      <w:tr w14:paraId="796945D1">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noWrap w:val="0"/>
            <w:vAlign w:val="center"/>
          </w:tcPr>
          <w:p w14:paraId="5BEC7F29">
            <w:pPr>
              <w:spacing w:line="240" w:lineRule="auto"/>
              <w:ind w:firstLine="0" w:firstLineChars="0"/>
              <w:jc w:val="center"/>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2F24CEA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11.其他因中选人安全管理不到位引发的安全责任事件</w:t>
            </w:r>
          </w:p>
        </w:tc>
        <w:tc>
          <w:tcPr>
            <w:tcW w:w="3827" w:type="dxa"/>
            <w:tcBorders>
              <w:top w:val="nil"/>
              <w:left w:val="nil"/>
              <w:bottom w:val="single" w:color="auto" w:sz="4" w:space="0"/>
              <w:right w:val="single" w:color="auto" w:sz="4" w:space="0"/>
            </w:tcBorders>
            <w:noWrap w:val="0"/>
            <w:vAlign w:val="center"/>
          </w:tcPr>
          <w:p w14:paraId="655BE30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视情况扣款追责</w:t>
            </w:r>
          </w:p>
        </w:tc>
      </w:tr>
      <w:tr w14:paraId="7AF893D0">
        <w:tblPrEx>
          <w:tblCellMar>
            <w:top w:w="0" w:type="dxa"/>
            <w:left w:w="108" w:type="dxa"/>
            <w:bottom w:w="0" w:type="dxa"/>
            <w:right w:w="108" w:type="dxa"/>
          </w:tblCellMar>
        </w:tblPrEx>
        <w:trPr>
          <w:trHeight w:val="480" w:hRule="atLeast"/>
        </w:trPr>
        <w:tc>
          <w:tcPr>
            <w:tcW w:w="709" w:type="dxa"/>
            <w:vMerge w:val="restart"/>
            <w:tcBorders>
              <w:top w:val="nil"/>
              <w:left w:val="single" w:color="auto" w:sz="4" w:space="0"/>
              <w:bottom w:val="single" w:color="auto" w:sz="4" w:space="0"/>
              <w:right w:val="single" w:color="auto" w:sz="4" w:space="0"/>
            </w:tcBorders>
            <w:noWrap w:val="0"/>
            <w:vAlign w:val="center"/>
          </w:tcPr>
          <w:p w14:paraId="26A3AE9B">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服务质量</w:t>
            </w:r>
          </w:p>
        </w:tc>
        <w:tc>
          <w:tcPr>
            <w:tcW w:w="4819" w:type="dxa"/>
            <w:tcBorders>
              <w:top w:val="nil"/>
              <w:left w:val="nil"/>
              <w:bottom w:val="single" w:color="auto" w:sz="4" w:space="0"/>
              <w:right w:val="single" w:color="auto" w:sz="4" w:space="0"/>
            </w:tcBorders>
            <w:noWrap w:val="0"/>
            <w:vAlign w:val="center"/>
          </w:tcPr>
          <w:p w14:paraId="0817F92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1.客户对秩序专业满意度未达到88%</w:t>
            </w:r>
          </w:p>
        </w:tc>
        <w:tc>
          <w:tcPr>
            <w:tcW w:w="3827" w:type="dxa"/>
            <w:tcBorders>
              <w:top w:val="nil"/>
              <w:left w:val="nil"/>
              <w:bottom w:val="single" w:color="auto" w:sz="4" w:space="0"/>
              <w:right w:val="single" w:color="auto" w:sz="4" w:space="0"/>
            </w:tcBorders>
            <w:noWrap w:val="0"/>
            <w:vAlign w:val="center"/>
          </w:tcPr>
          <w:p w14:paraId="5D78223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年度满意度结果低于指标1%，考核扣款1000元。上限5000元。</w:t>
            </w:r>
          </w:p>
        </w:tc>
      </w:tr>
      <w:tr w14:paraId="76B1C304">
        <w:tblPrEx>
          <w:tblCellMar>
            <w:top w:w="0" w:type="dxa"/>
            <w:left w:w="108" w:type="dxa"/>
            <w:bottom w:w="0" w:type="dxa"/>
            <w:right w:w="108" w:type="dxa"/>
          </w:tblCellMar>
        </w:tblPrEx>
        <w:trPr>
          <w:trHeight w:val="48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B19E6F1">
            <w:pPr>
              <w:spacing w:line="240" w:lineRule="auto"/>
              <w:ind w:firstLine="0" w:firstLineChars="0"/>
              <w:jc w:val="center"/>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736B7FA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2.中选人员工发生打骂客户、扰乱现场秩序、骚扰女客户/女业主等事件。</w:t>
            </w:r>
          </w:p>
        </w:tc>
        <w:tc>
          <w:tcPr>
            <w:tcW w:w="3827" w:type="dxa"/>
            <w:tcBorders>
              <w:top w:val="nil"/>
              <w:left w:val="nil"/>
              <w:bottom w:val="single" w:color="auto" w:sz="4" w:space="0"/>
              <w:right w:val="single" w:color="auto" w:sz="4" w:space="0"/>
            </w:tcBorders>
            <w:noWrap w:val="0"/>
            <w:vAlign w:val="center"/>
          </w:tcPr>
          <w:p w14:paraId="51BA365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考核扣款5000-10000元，并承担经济和名誉损失，甲方保留法律追责权利。</w:t>
            </w:r>
          </w:p>
        </w:tc>
      </w:tr>
      <w:tr w14:paraId="326EB240">
        <w:tblPrEx>
          <w:tblCellMar>
            <w:top w:w="0" w:type="dxa"/>
            <w:left w:w="108" w:type="dxa"/>
            <w:bottom w:w="0" w:type="dxa"/>
            <w:right w:w="108" w:type="dxa"/>
          </w:tblCellMar>
        </w:tblPrEx>
        <w:trPr>
          <w:trHeight w:val="48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775698F">
            <w:pPr>
              <w:spacing w:line="240" w:lineRule="auto"/>
              <w:ind w:firstLine="0" w:firstLineChars="0"/>
              <w:jc w:val="center"/>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367DF96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3.不当班时穿着制服在园区内外逗留并发生影响公司形象的行为</w:t>
            </w:r>
          </w:p>
        </w:tc>
        <w:tc>
          <w:tcPr>
            <w:tcW w:w="3827" w:type="dxa"/>
            <w:tcBorders>
              <w:top w:val="nil"/>
              <w:left w:val="nil"/>
              <w:bottom w:val="single" w:color="auto" w:sz="4" w:space="0"/>
              <w:right w:val="single" w:color="auto" w:sz="4" w:space="0"/>
            </w:tcBorders>
            <w:noWrap w:val="0"/>
            <w:vAlign w:val="center"/>
          </w:tcPr>
          <w:p w14:paraId="3878641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考核扣款￥200元/次</w:t>
            </w:r>
          </w:p>
        </w:tc>
      </w:tr>
      <w:tr w14:paraId="066EB5FA">
        <w:tblPrEx>
          <w:tblCellMar>
            <w:top w:w="0" w:type="dxa"/>
            <w:left w:w="108" w:type="dxa"/>
            <w:bottom w:w="0" w:type="dxa"/>
            <w:right w:w="108" w:type="dxa"/>
          </w:tblCellMar>
        </w:tblPrEx>
        <w:trPr>
          <w:trHeight w:val="51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34D7160">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69A69E4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4.当班时窜岗、聚岗、聊天、嬉笑打闹、玩手机、吃东西、饮酒及其他不当的行为</w:t>
            </w:r>
          </w:p>
        </w:tc>
        <w:tc>
          <w:tcPr>
            <w:tcW w:w="3827" w:type="dxa"/>
            <w:tcBorders>
              <w:top w:val="nil"/>
              <w:left w:val="nil"/>
              <w:bottom w:val="single" w:color="auto" w:sz="4" w:space="0"/>
              <w:right w:val="single" w:color="auto" w:sz="4" w:space="0"/>
            </w:tcBorders>
            <w:noWrap w:val="0"/>
            <w:vAlign w:val="center"/>
          </w:tcPr>
          <w:p w14:paraId="599D9DD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29D9C816">
        <w:tblPrEx>
          <w:tblCellMar>
            <w:top w:w="0" w:type="dxa"/>
            <w:left w:w="108" w:type="dxa"/>
            <w:bottom w:w="0" w:type="dxa"/>
            <w:right w:w="108" w:type="dxa"/>
          </w:tblCellMar>
        </w:tblPrEx>
        <w:trPr>
          <w:trHeight w:val="30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99AF747">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4DA1A67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5.值班期间有睡岗、脱岗行为的</w:t>
            </w:r>
          </w:p>
        </w:tc>
        <w:tc>
          <w:tcPr>
            <w:tcW w:w="3827" w:type="dxa"/>
            <w:tcBorders>
              <w:top w:val="nil"/>
              <w:left w:val="nil"/>
              <w:bottom w:val="single" w:color="auto" w:sz="4" w:space="0"/>
              <w:right w:val="single" w:color="auto" w:sz="4" w:space="0"/>
            </w:tcBorders>
            <w:noWrap w:val="0"/>
            <w:vAlign w:val="center"/>
          </w:tcPr>
          <w:p w14:paraId="3E51708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考核扣款￥200元/次</w:t>
            </w:r>
          </w:p>
        </w:tc>
      </w:tr>
      <w:tr w14:paraId="1DE654F2">
        <w:tblPrEx>
          <w:tblCellMar>
            <w:top w:w="0" w:type="dxa"/>
            <w:left w:w="108" w:type="dxa"/>
            <w:bottom w:w="0" w:type="dxa"/>
            <w:right w:w="108" w:type="dxa"/>
          </w:tblCellMar>
        </w:tblPrEx>
        <w:trPr>
          <w:trHeight w:val="30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50878BC">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541F0BE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6.值班期间，礼节礼貌执行不到位</w:t>
            </w:r>
          </w:p>
        </w:tc>
        <w:tc>
          <w:tcPr>
            <w:tcW w:w="3827" w:type="dxa"/>
            <w:tcBorders>
              <w:top w:val="nil"/>
              <w:left w:val="nil"/>
              <w:bottom w:val="single" w:color="auto" w:sz="4" w:space="0"/>
              <w:right w:val="single" w:color="auto" w:sz="4" w:space="0"/>
            </w:tcBorders>
            <w:noWrap w:val="0"/>
            <w:vAlign w:val="center"/>
          </w:tcPr>
          <w:p w14:paraId="5A80A71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56912FC6">
        <w:tblPrEx>
          <w:tblCellMar>
            <w:top w:w="0" w:type="dxa"/>
            <w:left w:w="108" w:type="dxa"/>
            <w:bottom w:w="0" w:type="dxa"/>
            <w:right w:w="108" w:type="dxa"/>
          </w:tblCellMar>
        </w:tblPrEx>
        <w:trPr>
          <w:trHeight w:val="239"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15201E4">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0ABEA82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7.利用职务索要或收受财物、损害甲方利益</w:t>
            </w:r>
          </w:p>
        </w:tc>
        <w:tc>
          <w:tcPr>
            <w:tcW w:w="3827" w:type="dxa"/>
            <w:tcBorders>
              <w:top w:val="nil"/>
              <w:left w:val="nil"/>
              <w:bottom w:val="single" w:color="auto" w:sz="4" w:space="0"/>
              <w:right w:val="single" w:color="auto" w:sz="4" w:space="0"/>
            </w:tcBorders>
            <w:noWrap w:val="0"/>
            <w:vAlign w:val="center"/>
          </w:tcPr>
          <w:p w14:paraId="1781A34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考核扣款￥500元并退缴财物</w:t>
            </w:r>
          </w:p>
        </w:tc>
      </w:tr>
      <w:tr w14:paraId="1292356E">
        <w:tblPrEx>
          <w:tblCellMar>
            <w:top w:w="0" w:type="dxa"/>
            <w:left w:w="108" w:type="dxa"/>
            <w:bottom w:w="0" w:type="dxa"/>
            <w:right w:w="108" w:type="dxa"/>
          </w:tblCellMar>
        </w:tblPrEx>
        <w:trPr>
          <w:trHeight w:val="371"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DE0FAE5">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3DEE32B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8.因服务不到位，受到合作方、同事、业主有效投诉的</w:t>
            </w:r>
          </w:p>
        </w:tc>
        <w:tc>
          <w:tcPr>
            <w:tcW w:w="3827" w:type="dxa"/>
            <w:tcBorders>
              <w:top w:val="nil"/>
              <w:left w:val="nil"/>
              <w:bottom w:val="single" w:color="auto" w:sz="4" w:space="0"/>
              <w:right w:val="single" w:color="auto" w:sz="4" w:space="0"/>
            </w:tcBorders>
            <w:noWrap w:val="0"/>
            <w:vAlign w:val="center"/>
          </w:tcPr>
          <w:p w14:paraId="6656FF2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第一次考核扣款￥100元，</w:t>
            </w:r>
          </w:p>
          <w:p w14:paraId="43A2A47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第二次考核扣款200元，</w:t>
            </w:r>
          </w:p>
          <w:p w14:paraId="292F656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第三次考核扣款400元，</w:t>
            </w:r>
          </w:p>
          <w:p w14:paraId="1A71E01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第四次考核扣款800元，以此类推；</w:t>
            </w:r>
          </w:p>
        </w:tc>
      </w:tr>
      <w:tr w14:paraId="22A835CC">
        <w:tblPrEx>
          <w:tblCellMar>
            <w:top w:w="0" w:type="dxa"/>
            <w:left w:w="108" w:type="dxa"/>
            <w:bottom w:w="0" w:type="dxa"/>
            <w:right w:w="108" w:type="dxa"/>
          </w:tblCellMar>
        </w:tblPrEx>
        <w:trPr>
          <w:trHeight w:val="217"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C7A7B2F">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37B39F3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9.捡拾物品藏匿不上缴</w:t>
            </w:r>
          </w:p>
        </w:tc>
        <w:tc>
          <w:tcPr>
            <w:tcW w:w="3827" w:type="dxa"/>
            <w:tcBorders>
              <w:top w:val="nil"/>
              <w:left w:val="nil"/>
              <w:bottom w:val="single" w:color="auto" w:sz="4" w:space="0"/>
              <w:right w:val="single" w:color="auto" w:sz="4" w:space="0"/>
            </w:tcBorders>
            <w:noWrap w:val="0"/>
            <w:vAlign w:val="center"/>
          </w:tcPr>
          <w:p w14:paraId="71F854C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考核扣款￥500元/次</w:t>
            </w:r>
          </w:p>
        </w:tc>
      </w:tr>
      <w:tr w14:paraId="3AEB6FC4">
        <w:tblPrEx>
          <w:tblCellMar>
            <w:top w:w="0" w:type="dxa"/>
            <w:left w:w="108" w:type="dxa"/>
            <w:bottom w:w="0" w:type="dxa"/>
            <w:right w:w="108" w:type="dxa"/>
          </w:tblCellMar>
        </w:tblPrEx>
        <w:trPr>
          <w:trHeight w:val="176"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E46696E">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00C736D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10.遇访客咨询，敷衍了事或避不作答，用语不礼貌不文明</w:t>
            </w:r>
          </w:p>
        </w:tc>
        <w:tc>
          <w:tcPr>
            <w:tcW w:w="3827" w:type="dxa"/>
            <w:tcBorders>
              <w:top w:val="single" w:color="auto" w:sz="4" w:space="0"/>
              <w:left w:val="nil"/>
              <w:bottom w:val="single" w:color="auto" w:sz="4" w:space="0"/>
              <w:right w:val="single" w:color="auto" w:sz="4" w:space="0"/>
            </w:tcBorders>
            <w:noWrap w:val="0"/>
            <w:vAlign w:val="center"/>
          </w:tcPr>
          <w:p w14:paraId="09B6E67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考核扣款￥100元/次</w:t>
            </w:r>
          </w:p>
        </w:tc>
      </w:tr>
      <w:tr w14:paraId="7D92D637">
        <w:tblPrEx>
          <w:tblCellMar>
            <w:top w:w="0" w:type="dxa"/>
            <w:left w:w="108" w:type="dxa"/>
            <w:bottom w:w="0" w:type="dxa"/>
            <w:right w:w="108" w:type="dxa"/>
          </w:tblCellMar>
        </w:tblPrEx>
        <w:trPr>
          <w:trHeight w:val="122"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B354996">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6234E18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11.不熟悉岗位职责、岗位操作流程、消防基础知识、消防设备位置及正确的使用方法</w:t>
            </w:r>
          </w:p>
        </w:tc>
        <w:tc>
          <w:tcPr>
            <w:tcW w:w="3827" w:type="dxa"/>
            <w:tcBorders>
              <w:top w:val="single" w:color="auto" w:sz="4" w:space="0"/>
              <w:left w:val="nil"/>
              <w:bottom w:val="single" w:color="auto" w:sz="4" w:space="0"/>
              <w:right w:val="single" w:color="auto" w:sz="4" w:space="0"/>
            </w:tcBorders>
            <w:noWrap w:val="0"/>
            <w:vAlign w:val="center"/>
          </w:tcPr>
          <w:p w14:paraId="7569A4D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考核扣款￥100元/人/次</w:t>
            </w:r>
          </w:p>
        </w:tc>
      </w:tr>
      <w:tr w14:paraId="078DB1FE">
        <w:tblPrEx>
          <w:tblCellMar>
            <w:top w:w="0" w:type="dxa"/>
            <w:left w:w="108" w:type="dxa"/>
            <w:bottom w:w="0" w:type="dxa"/>
            <w:right w:w="108" w:type="dxa"/>
          </w:tblCellMar>
        </w:tblPrEx>
        <w:trPr>
          <w:trHeight w:val="1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B81CD0A">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355F5B6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12.不熟悉园区基本情况（楼栋、户位、卫生间、电梯、逃生通道、安全出口、消防通道等位置）</w:t>
            </w:r>
          </w:p>
        </w:tc>
        <w:tc>
          <w:tcPr>
            <w:tcW w:w="3827" w:type="dxa"/>
            <w:tcBorders>
              <w:top w:val="single" w:color="auto" w:sz="4" w:space="0"/>
              <w:left w:val="nil"/>
              <w:bottom w:val="single" w:color="auto" w:sz="4" w:space="0"/>
              <w:right w:val="single" w:color="auto" w:sz="4" w:space="0"/>
            </w:tcBorders>
            <w:noWrap w:val="0"/>
            <w:vAlign w:val="center"/>
          </w:tcPr>
          <w:p w14:paraId="784C53B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358C03DA">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1339711">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67A4081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13.安全综合主管岗位督勤不到位（白班不低于3次，夜间不低于4次，漏岗和频次不够均属督勤不到位）</w:t>
            </w:r>
          </w:p>
        </w:tc>
        <w:tc>
          <w:tcPr>
            <w:tcW w:w="3827" w:type="dxa"/>
            <w:tcBorders>
              <w:top w:val="single" w:color="auto" w:sz="4" w:space="0"/>
              <w:left w:val="nil"/>
              <w:bottom w:val="single" w:color="auto" w:sz="4" w:space="0"/>
              <w:right w:val="single" w:color="auto" w:sz="4" w:space="0"/>
            </w:tcBorders>
            <w:noWrap w:val="0"/>
            <w:vAlign w:val="center"/>
          </w:tcPr>
          <w:p w14:paraId="4561CE5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454C92D5">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6F0E7D8">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3200DF0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14.每班次未召开班前班后会、未实施带队交接班</w:t>
            </w:r>
          </w:p>
        </w:tc>
        <w:tc>
          <w:tcPr>
            <w:tcW w:w="3827" w:type="dxa"/>
            <w:tcBorders>
              <w:top w:val="single" w:color="auto" w:sz="4" w:space="0"/>
              <w:left w:val="nil"/>
              <w:bottom w:val="single" w:color="auto" w:sz="4" w:space="0"/>
              <w:right w:val="single" w:color="auto" w:sz="4" w:space="0"/>
            </w:tcBorders>
            <w:noWrap w:val="0"/>
            <w:vAlign w:val="center"/>
          </w:tcPr>
          <w:p w14:paraId="1149310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6122EBA3">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63EFC20">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17499E8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15.其他服务品质达不到标准</w:t>
            </w:r>
          </w:p>
        </w:tc>
        <w:tc>
          <w:tcPr>
            <w:tcW w:w="3827" w:type="dxa"/>
            <w:tcBorders>
              <w:top w:val="single" w:color="auto" w:sz="4" w:space="0"/>
              <w:left w:val="nil"/>
              <w:bottom w:val="single" w:color="auto" w:sz="4" w:space="0"/>
              <w:right w:val="single" w:color="auto" w:sz="4" w:space="0"/>
            </w:tcBorders>
            <w:noWrap w:val="0"/>
            <w:vAlign w:val="center"/>
          </w:tcPr>
          <w:p w14:paraId="3B288E0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考核扣款￥100—1000元/次</w:t>
            </w:r>
          </w:p>
        </w:tc>
      </w:tr>
      <w:tr w14:paraId="3ADB8C3F">
        <w:tblPrEx>
          <w:tblCellMar>
            <w:top w:w="0" w:type="dxa"/>
            <w:left w:w="108" w:type="dxa"/>
            <w:bottom w:w="0" w:type="dxa"/>
            <w:right w:w="108" w:type="dxa"/>
          </w:tblCellMar>
        </w:tblPrEx>
        <w:trPr>
          <w:trHeight w:val="503" w:hRule="atLeast"/>
        </w:trPr>
        <w:tc>
          <w:tcPr>
            <w:tcW w:w="709" w:type="dxa"/>
            <w:vMerge w:val="restart"/>
            <w:tcBorders>
              <w:top w:val="nil"/>
              <w:left w:val="single" w:color="auto" w:sz="4" w:space="0"/>
              <w:bottom w:val="single" w:color="auto" w:sz="4" w:space="0"/>
              <w:right w:val="single" w:color="auto" w:sz="4" w:space="0"/>
            </w:tcBorders>
            <w:noWrap w:val="0"/>
            <w:vAlign w:val="center"/>
          </w:tcPr>
          <w:p w14:paraId="30BD218D">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内务管理</w:t>
            </w:r>
          </w:p>
        </w:tc>
        <w:tc>
          <w:tcPr>
            <w:tcW w:w="4819" w:type="dxa"/>
            <w:tcBorders>
              <w:top w:val="nil"/>
              <w:left w:val="nil"/>
              <w:bottom w:val="single" w:color="auto" w:sz="4" w:space="0"/>
              <w:right w:val="single" w:color="auto" w:sz="4" w:space="0"/>
            </w:tcBorders>
            <w:noWrap w:val="0"/>
            <w:vAlign w:val="center"/>
          </w:tcPr>
          <w:p w14:paraId="57A3EDF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1.值班岗位物品摆放凌乱</w:t>
            </w:r>
          </w:p>
        </w:tc>
        <w:tc>
          <w:tcPr>
            <w:tcW w:w="3827" w:type="dxa"/>
            <w:tcBorders>
              <w:top w:val="nil"/>
              <w:left w:val="nil"/>
              <w:bottom w:val="single" w:color="auto" w:sz="4" w:space="0"/>
              <w:right w:val="single" w:color="auto" w:sz="4" w:space="0"/>
            </w:tcBorders>
            <w:noWrap w:val="0"/>
            <w:vAlign w:val="center"/>
          </w:tcPr>
          <w:p w14:paraId="5C68162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30D7A4EB">
        <w:tblPrEx>
          <w:tblCellMar>
            <w:top w:w="0" w:type="dxa"/>
            <w:left w:w="108" w:type="dxa"/>
            <w:bottom w:w="0" w:type="dxa"/>
            <w:right w:w="108" w:type="dxa"/>
          </w:tblCellMar>
        </w:tblPrEx>
        <w:trPr>
          <w:trHeight w:val="28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6549211">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120E0CF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2.宿舍管理混乱（卫生脏乱差、物品摆放混乱、设施设备破损未修复）</w:t>
            </w:r>
          </w:p>
        </w:tc>
        <w:tc>
          <w:tcPr>
            <w:tcW w:w="3827" w:type="dxa"/>
            <w:tcBorders>
              <w:top w:val="nil"/>
              <w:left w:val="nil"/>
              <w:bottom w:val="single" w:color="auto" w:sz="4" w:space="0"/>
              <w:right w:val="single" w:color="auto" w:sz="4" w:space="0"/>
            </w:tcBorders>
            <w:noWrap w:val="0"/>
            <w:vAlign w:val="center"/>
          </w:tcPr>
          <w:p w14:paraId="20F8EDE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考核扣款￥100元/次</w:t>
            </w:r>
          </w:p>
        </w:tc>
      </w:tr>
      <w:tr w14:paraId="781E86A9">
        <w:tblPrEx>
          <w:tblCellMar>
            <w:top w:w="0" w:type="dxa"/>
            <w:left w:w="108" w:type="dxa"/>
            <w:bottom w:w="0" w:type="dxa"/>
            <w:right w:w="108" w:type="dxa"/>
          </w:tblCellMar>
        </w:tblPrEx>
        <w:trPr>
          <w:trHeight w:val="28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55DE98F">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056C267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3.岗位各类登记表格，未按要求进行登记及登记不规范的</w:t>
            </w:r>
          </w:p>
        </w:tc>
        <w:tc>
          <w:tcPr>
            <w:tcW w:w="3827" w:type="dxa"/>
            <w:tcBorders>
              <w:top w:val="nil"/>
              <w:left w:val="nil"/>
              <w:bottom w:val="single" w:color="auto" w:sz="4" w:space="0"/>
              <w:right w:val="single" w:color="auto" w:sz="4" w:space="0"/>
            </w:tcBorders>
            <w:noWrap w:val="0"/>
            <w:vAlign w:val="center"/>
          </w:tcPr>
          <w:p w14:paraId="13233DE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70DA7999">
        <w:tblPrEx>
          <w:tblCellMar>
            <w:top w:w="0" w:type="dxa"/>
            <w:left w:w="108" w:type="dxa"/>
            <w:bottom w:w="0" w:type="dxa"/>
            <w:right w:w="108" w:type="dxa"/>
          </w:tblCellMar>
        </w:tblPrEx>
        <w:trPr>
          <w:trHeight w:val="48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D4ED197">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nil"/>
              <w:left w:val="nil"/>
              <w:bottom w:val="single" w:color="auto" w:sz="4" w:space="0"/>
              <w:right w:val="single" w:color="auto" w:sz="4" w:space="0"/>
            </w:tcBorders>
            <w:noWrap w:val="0"/>
            <w:vAlign w:val="center"/>
          </w:tcPr>
          <w:p w14:paraId="23F1F2C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4.未按时间提交相关计划（班表、月度计划、月度总结等）</w:t>
            </w:r>
          </w:p>
        </w:tc>
        <w:tc>
          <w:tcPr>
            <w:tcW w:w="3827" w:type="dxa"/>
            <w:tcBorders>
              <w:top w:val="nil"/>
              <w:left w:val="nil"/>
              <w:bottom w:val="single" w:color="auto" w:sz="4" w:space="0"/>
              <w:right w:val="single" w:color="auto" w:sz="4" w:space="0"/>
            </w:tcBorders>
            <w:noWrap w:val="0"/>
            <w:vAlign w:val="center"/>
          </w:tcPr>
          <w:p w14:paraId="53E0B31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考核扣款￥100元/次</w:t>
            </w:r>
          </w:p>
        </w:tc>
      </w:tr>
      <w:tr w14:paraId="333AC22D">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B9F67C3">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1455E54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5.未经比选人同意，私自带领参观人员进入项目参观</w:t>
            </w:r>
          </w:p>
        </w:tc>
        <w:tc>
          <w:tcPr>
            <w:tcW w:w="3827" w:type="dxa"/>
            <w:tcBorders>
              <w:top w:val="nil"/>
              <w:left w:val="nil"/>
              <w:bottom w:val="single" w:color="auto" w:sz="4" w:space="0"/>
              <w:right w:val="single" w:color="auto" w:sz="4" w:space="0"/>
            </w:tcBorders>
            <w:noWrap w:val="0"/>
            <w:vAlign w:val="center"/>
          </w:tcPr>
          <w:p w14:paraId="0C88C3A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考核扣款￥500元/次</w:t>
            </w:r>
          </w:p>
        </w:tc>
      </w:tr>
      <w:tr w14:paraId="7B11ECAC">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9453084">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0848B64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6.未经比选人现场秩序负责人同意，私自同意其他部门、及客户等人员到中控室查看录像和拷贝录像</w:t>
            </w:r>
          </w:p>
        </w:tc>
        <w:tc>
          <w:tcPr>
            <w:tcW w:w="3827" w:type="dxa"/>
            <w:tcBorders>
              <w:top w:val="nil"/>
              <w:left w:val="nil"/>
              <w:bottom w:val="single" w:color="auto" w:sz="4" w:space="0"/>
              <w:right w:val="single" w:color="auto" w:sz="4" w:space="0"/>
            </w:tcBorders>
            <w:noWrap w:val="0"/>
            <w:vAlign w:val="center"/>
          </w:tcPr>
          <w:p w14:paraId="7138F40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考核扣款￥500元/次</w:t>
            </w:r>
          </w:p>
        </w:tc>
      </w:tr>
      <w:tr w14:paraId="4D7A9399">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C4EEF2B">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52D803D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7.上岗后应知应会知识掌握不达标</w:t>
            </w:r>
          </w:p>
        </w:tc>
        <w:tc>
          <w:tcPr>
            <w:tcW w:w="3827" w:type="dxa"/>
            <w:tcBorders>
              <w:top w:val="nil"/>
              <w:left w:val="nil"/>
              <w:bottom w:val="single" w:color="auto" w:sz="4" w:space="0"/>
              <w:right w:val="single" w:color="auto" w:sz="4" w:space="0"/>
            </w:tcBorders>
            <w:noWrap w:val="0"/>
            <w:vAlign w:val="center"/>
          </w:tcPr>
          <w:p w14:paraId="699C237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56BD8391">
        <w:tblPrEx>
          <w:tblCellMar>
            <w:top w:w="0" w:type="dxa"/>
            <w:left w:w="108" w:type="dxa"/>
            <w:bottom w:w="0" w:type="dxa"/>
            <w:right w:w="108" w:type="dxa"/>
          </w:tblCellMar>
        </w:tblPrEx>
        <w:trPr>
          <w:trHeight w:val="312"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B64336F">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nil"/>
              <w:left w:val="nil"/>
              <w:bottom w:val="single" w:color="auto" w:sz="4" w:space="0"/>
              <w:right w:val="single" w:color="auto" w:sz="4" w:space="0"/>
            </w:tcBorders>
            <w:noWrap w:val="0"/>
            <w:vAlign w:val="center"/>
          </w:tcPr>
          <w:p w14:paraId="44159DB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8.值班期间，员工仪容着装不达标（含：面容不洁，头发、指甲、胡须长，身有异味，着便装、混搭，衣物不洁、破损、缺失衣扣，装备佩戴不齐全等）。</w:t>
            </w:r>
          </w:p>
        </w:tc>
        <w:tc>
          <w:tcPr>
            <w:tcW w:w="3827" w:type="dxa"/>
            <w:tcBorders>
              <w:top w:val="nil"/>
              <w:left w:val="nil"/>
              <w:bottom w:val="single" w:color="auto" w:sz="4" w:space="0"/>
              <w:right w:val="single" w:color="auto" w:sz="4" w:space="0"/>
            </w:tcBorders>
            <w:noWrap w:val="0"/>
            <w:vAlign w:val="center"/>
          </w:tcPr>
          <w:p w14:paraId="3E61C13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考核扣款￥50元/人/次</w:t>
            </w:r>
          </w:p>
        </w:tc>
      </w:tr>
      <w:tr w14:paraId="78E9C940">
        <w:tblPrEx>
          <w:tblCellMar>
            <w:top w:w="0" w:type="dxa"/>
            <w:left w:w="108" w:type="dxa"/>
            <w:bottom w:w="0" w:type="dxa"/>
            <w:right w:w="108" w:type="dxa"/>
          </w:tblCellMar>
        </w:tblPrEx>
        <w:trPr>
          <w:trHeight w:val="1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2CDEB3F">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4E3A925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9.当班时伸懒腰、手插衣裤袋、掏耳、挖鼻、持对讲机天线摇晃等</w:t>
            </w:r>
          </w:p>
        </w:tc>
        <w:tc>
          <w:tcPr>
            <w:tcW w:w="3827" w:type="dxa"/>
            <w:tcBorders>
              <w:top w:val="single" w:color="auto" w:sz="4" w:space="0"/>
              <w:left w:val="nil"/>
              <w:bottom w:val="single" w:color="auto" w:sz="4" w:space="0"/>
              <w:right w:val="single" w:color="auto" w:sz="4" w:space="0"/>
            </w:tcBorders>
            <w:noWrap w:val="0"/>
            <w:vAlign w:val="center"/>
          </w:tcPr>
          <w:p w14:paraId="32A683A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考核扣款￥20元/次</w:t>
            </w:r>
          </w:p>
        </w:tc>
      </w:tr>
      <w:tr w14:paraId="5EC0F990">
        <w:tblPrEx>
          <w:tblCellMar>
            <w:top w:w="0" w:type="dxa"/>
            <w:left w:w="108" w:type="dxa"/>
            <w:bottom w:w="0" w:type="dxa"/>
            <w:right w:w="108" w:type="dxa"/>
          </w:tblCellMar>
        </w:tblPrEx>
        <w:trPr>
          <w:trHeight w:val="149"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6E5E362">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0B50E11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10.当班时面容不洁、头发不整齐干净、身有异味</w:t>
            </w:r>
          </w:p>
        </w:tc>
        <w:tc>
          <w:tcPr>
            <w:tcW w:w="3827" w:type="dxa"/>
            <w:tcBorders>
              <w:top w:val="single" w:color="auto" w:sz="4" w:space="0"/>
              <w:left w:val="nil"/>
              <w:bottom w:val="single" w:color="auto" w:sz="4" w:space="0"/>
              <w:right w:val="single" w:color="auto" w:sz="4" w:space="0"/>
            </w:tcBorders>
            <w:noWrap w:val="0"/>
            <w:vAlign w:val="center"/>
          </w:tcPr>
          <w:p w14:paraId="63E0D99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考核扣款￥50元/次</w:t>
            </w:r>
          </w:p>
        </w:tc>
      </w:tr>
      <w:tr w14:paraId="4EA219F3">
        <w:tblPrEx>
          <w:tblCellMar>
            <w:top w:w="0" w:type="dxa"/>
            <w:left w:w="108" w:type="dxa"/>
            <w:bottom w:w="0" w:type="dxa"/>
            <w:right w:w="108" w:type="dxa"/>
          </w:tblCellMar>
        </w:tblPrEx>
        <w:trPr>
          <w:trHeight w:val="149"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4E95548">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1BCFF67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11.上班前饮酒，上班过程中有酒气的</w:t>
            </w:r>
          </w:p>
        </w:tc>
        <w:tc>
          <w:tcPr>
            <w:tcW w:w="3827" w:type="dxa"/>
            <w:tcBorders>
              <w:top w:val="single" w:color="auto" w:sz="4" w:space="0"/>
              <w:left w:val="nil"/>
              <w:bottom w:val="single" w:color="auto" w:sz="4" w:space="0"/>
              <w:right w:val="single" w:color="auto" w:sz="4" w:space="0"/>
            </w:tcBorders>
            <w:noWrap w:val="0"/>
            <w:vAlign w:val="center"/>
          </w:tcPr>
          <w:p w14:paraId="3D8DB11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考核扣款￥100元/次</w:t>
            </w:r>
          </w:p>
        </w:tc>
      </w:tr>
      <w:tr w14:paraId="6E979EBC">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768DB9F">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32A512A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12.非工作时间在公司辖区工作场所、生活区域有赌博行为的</w:t>
            </w:r>
          </w:p>
        </w:tc>
        <w:tc>
          <w:tcPr>
            <w:tcW w:w="3827" w:type="dxa"/>
            <w:tcBorders>
              <w:top w:val="single" w:color="auto" w:sz="4" w:space="0"/>
              <w:left w:val="nil"/>
              <w:bottom w:val="single" w:color="auto" w:sz="4" w:space="0"/>
              <w:right w:val="single" w:color="auto" w:sz="4" w:space="0"/>
            </w:tcBorders>
            <w:noWrap w:val="0"/>
            <w:vAlign w:val="center"/>
          </w:tcPr>
          <w:p w14:paraId="5EACCFD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考核扣款￥200元/次</w:t>
            </w:r>
          </w:p>
        </w:tc>
      </w:tr>
      <w:tr w14:paraId="5FCE1C1F">
        <w:tblPrEx>
          <w:tblCellMar>
            <w:top w:w="0" w:type="dxa"/>
            <w:left w:w="108" w:type="dxa"/>
            <w:bottom w:w="0" w:type="dxa"/>
            <w:right w:w="108" w:type="dxa"/>
          </w:tblCellMar>
        </w:tblPrEx>
        <w:trPr>
          <w:trHeight w:val="1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B80217D">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693F82C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13.煽动他人闹事或在公司内挑拨、闹事造成不良影响的</w:t>
            </w:r>
          </w:p>
        </w:tc>
        <w:tc>
          <w:tcPr>
            <w:tcW w:w="3827" w:type="dxa"/>
            <w:tcBorders>
              <w:top w:val="single" w:color="auto" w:sz="4" w:space="0"/>
              <w:left w:val="nil"/>
              <w:bottom w:val="single" w:color="auto" w:sz="4" w:space="0"/>
              <w:right w:val="single" w:color="auto" w:sz="4" w:space="0"/>
            </w:tcBorders>
            <w:noWrap w:val="0"/>
            <w:vAlign w:val="center"/>
          </w:tcPr>
          <w:p w14:paraId="0500501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考核扣款￥500元/次</w:t>
            </w:r>
          </w:p>
        </w:tc>
      </w:tr>
      <w:tr w14:paraId="4A4BBF3E">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271AEDD">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5A4FF9B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14.不服从管理，顶撞上级（含比选人管理人员）的</w:t>
            </w:r>
          </w:p>
        </w:tc>
        <w:tc>
          <w:tcPr>
            <w:tcW w:w="3827" w:type="dxa"/>
            <w:tcBorders>
              <w:top w:val="single" w:color="auto" w:sz="4" w:space="0"/>
              <w:left w:val="nil"/>
              <w:bottom w:val="single" w:color="auto" w:sz="4" w:space="0"/>
              <w:right w:val="single" w:color="auto" w:sz="4" w:space="0"/>
            </w:tcBorders>
            <w:noWrap w:val="0"/>
            <w:vAlign w:val="center"/>
          </w:tcPr>
          <w:p w14:paraId="4C1E635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考核扣款￥50—500元/次</w:t>
            </w:r>
          </w:p>
        </w:tc>
      </w:tr>
      <w:tr w14:paraId="514511FB">
        <w:tblPrEx>
          <w:tblCellMar>
            <w:top w:w="0" w:type="dxa"/>
            <w:left w:w="108" w:type="dxa"/>
            <w:bottom w:w="0" w:type="dxa"/>
            <w:right w:w="108" w:type="dxa"/>
          </w:tblCellMar>
        </w:tblPrEx>
        <w:trPr>
          <w:trHeight w:val="19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260D1F2">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1E2502D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15.未按要求完成比选人规定的动作或任务的</w:t>
            </w:r>
          </w:p>
        </w:tc>
        <w:tc>
          <w:tcPr>
            <w:tcW w:w="3827" w:type="dxa"/>
            <w:tcBorders>
              <w:top w:val="single" w:color="auto" w:sz="4" w:space="0"/>
              <w:left w:val="nil"/>
              <w:bottom w:val="single" w:color="auto" w:sz="4" w:space="0"/>
              <w:right w:val="single" w:color="auto" w:sz="4" w:space="0"/>
            </w:tcBorders>
            <w:noWrap w:val="0"/>
            <w:vAlign w:val="center"/>
          </w:tcPr>
          <w:p w14:paraId="32425A0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考核扣款￥50—500元/次</w:t>
            </w:r>
          </w:p>
        </w:tc>
      </w:tr>
      <w:tr w14:paraId="4D101901">
        <w:tblPrEx>
          <w:tblCellMar>
            <w:top w:w="0" w:type="dxa"/>
            <w:left w:w="108" w:type="dxa"/>
            <w:bottom w:w="0" w:type="dxa"/>
            <w:right w:w="108" w:type="dxa"/>
          </w:tblCellMar>
        </w:tblPrEx>
        <w:trPr>
          <w:trHeight w:val="156"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39096B9">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466F67E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bCs/>
                <w:sz w:val="21"/>
                <w:szCs w:val="21"/>
              </w:rPr>
              <w:t>16.每月至少1次指派高层管理人员（区域经理级以上）到比选人现场检查承包范围内的服务情况，并须向比选人提供书面检查意见及处理结果，征询比选人意见，如中选人高层管理人员未能按月到现场，比选人将进行扣款。</w:t>
            </w:r>
          </w:p>
        </w:tc>
        <w:tc>
          <w:tcPr>
            <w:tcW w:w="3827" w:type="dxa"/>
            <w:tcBorders>
              <w:top w:val="single" w:color="auto" w:sz="4" w:space="0"/>
              <w:left w:val="nil"/>
              <w:bottom w:val="single" w:color="auto" w:sz="4" w:space="0"/>
              <w:right w:val="single" w:color="auto" w:sz="4" w:space="0"/>
            </w:tcBorders>
            <w:noWrap w:val="0"/>
            <w:vAlign w:val="center"/>
          </w:tcPr>
          <w:p w14:paraId="4902607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考核扣款￥100-300元/次/月</w:t>
            </w:r>
          </w:p>
        </w:tc>
      </w:tr>
      <w:tr w14:paraId="43564449">
        <w:tblPrEx>
          <w:tblCellMar>
            <w:top w:w="0" w:type="dxa"/>
            <w:left w:w="108" w:type="dxa"/>
            <w:bottom w:w="0" w:type="dxa"/>
            <w:right w:w="108" w:type="dxa"/>
          </w:tblCellMar>
        </w:tblPrEx>
        <w:trPr>
          <w:trHeight w:val="384"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68B291A">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2A4B4E8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17.其他员工行为不当或内务管理达不到标准</w:t>
            </w:r>
          </w:p>
        </w:tc>
        <w:tc>
          <w:tcPr>
            <w:tcW w:w="3827" w:type="dxa"/>
            <w:tcBorders>
              <w:top w:val="single" w:color="auto" w:sz="4" w:space="0"/>
              <w:left w:val="nil"/>
              <w:bottom w:val="single" w:color="auto" w:sz="4" w:space="0"/>
              <w:right w:val="single" w:color="auto" w:sz="4" w:space="0"/>
            </w:tcBorders>
            <w:noWrap w:val="0"/>
            <w:vAlign w:val="center"/>
          </w:tcPr>
          <w:p w14:paraId="21B1CB2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考核扣款￥50—500元/次</w:t>
            </w:r>
          </w:p>
        </w:tc>
      </w:tr>
      <w:tr w14:paraId="1CD8634B">
        <w:tblPrEx>
          <w:tblCellMar>
            <w:top w:w="0" w:type="dxa"/>
            <w:left w:w="108" w:type="dxa"/>
            <w:bottom w:w="0" w:type="dxa"/>
            <w:right w:w="108" w:type="dxa"/>
          </w:tblCellMar>
        </w:tblPrEx>
        <w:trPr>
          <w:trHeight w:val="498" w:hRule="atLeast"/>
        </w:trPr>
        <w:tc>
          <w:tcPr>
            <w:tcW w:w="709" w:type="dxa"/>
            <w:vMerge w:val="restart"/>
            <w:tcBorders>
              <w:top w:val="nil"/>
              <w:left w:val="single" w:color="auto" w:sz="4" w:space="0"/>
              <w:bottom w:val="nil"/>
              <w:right w:val="single" w:color="auto" w:sz="4" w:space="0"/>
            </w:tcBorders>
            <w:noWrap w:val="0"/>
            <w:vAlign w:val="center"/>
          </w:tcPr>
          <w:p w14:paraId="4447CA63">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考勤管理</w:t>
            </w:r>
          </w:p>
        </w:tc>
        <w:tc>
          <w:tcPr>
            <w:tcW w:w="4819" w:type="dxa"/>
            <w:tcBorders>
              <w:top w:val="nil"/>
              <w:left w:val="nil"/>
              <w:bottom w:val="single" w:color="auto" w:sz="4" w:space="0"/>
              <w:right w:val="single" w:color="auto" w:sz="4" w:space="0"/>
            </w:tcBorders>
            <w:noWrap w:val="0"/>
            <w:vAlign w:val="center"/>
          </w:tcPr>
          <w:p w14:paraId="74482A4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1.代他人打卡的</w:t>
            </w:r>
          </w:p>
        </w:tc>
        <w:tc>
          <w:tcPr>
            <w:tcW w:w="3827" w:type="dxa"/>
            <w:tcBorders>
              <w:top w:val="nil"/>
              <w:left w:val="nil"/>
              <w:bottom w:val="single" w:color="auto" w:sz="4" w:space="0"/>
              <w:right w:val="single" w:color="auto" w:sz="4" w:space="0"/>
            </w:tcBorders>
            <w:noWrap w:val="0"/>
            <w:vAlign w:val="center"/>
          </w:tcPr>
          <w:p w14:paraId="69994EA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考核扣款￥500元/次</w:t>
            </w:r>
          </w:p>
        </w:tc>
      </w:tr>
      <w:tr w14:paraId="36F363E7">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nil"/>
              <w:right w:val="single" w:color="auto" w:sz="4" w:space="0"/>
            </w:tcBorders>
            <w:noWrap w:val="0"/>
            <w:vAlign w:val="center"/>
          </w:tcPr>
          <w:p w14:paraId="040AE606">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5DCDED1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2.迟到1个月累计超过4次以上</w:t>
            </w:r>
          </w:p>
        </w:tc>
        <w:tc>
          <w:tcPr>
            <w:tcW w:w="3827" w:type="dxa"/>
            <w:tcBorders>
              <w:top w:val="single" w:color="auto" w:sz="4" w:space="0"/>
              <w:left w:val="nil"/>
              <w:bottom w:val="single" w:color="auto" w:sz="4" w:space="0"/>
              <w:right w:val="single" w:color="auto" w:sz="4" w:space="0"/>
            </w:tcBorders>
            <w:noWrap w:val="0"/>
            <w:vAlign w:val="center"/>
          </w:tcPr>
          <w:p w14:paraId="126D11A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考核扣款￥50—500元/次</w:t>
            </w:r>
          </w:p>
        </w:tc>
      </w:tr>
      <w:tr w14:paraId="3D6FDE0B">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nil"/>
              <w:right w:val="single" w:color="auto" w:sz="4" w:space="0"/>
            </w:tcBorders>
            <w:noWrap w:val="0"/>
            <w:vAlign w:val="center"/>
          </w:tcPr>
          <w:p w14:paraId="6B428A86">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018B950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3.考勤弄虚作假</w:t>
            </w:r>
          </w:p>
        </w:tc>
        <w:tc>
          <w:tcPr>
            <w:tcW w:w="3827" w:type="dxa"/>
            <w:tcBorders>
              <w:top w:val="single" w:color="auto" w:sz="4" w:space="0"/>
              <w:left w:val="nil"/>
              <w:bottom w:val="single" w:color="auto" w:sz="4" w:space="0"/>
              <w:right w:val="single" w:color="auto" w:sz="4" w:space="0"/>
            </w:tcBorders>
            <w:noWrap w:val="0"/>
            <w:vAlign w:val="center"/>
          </w:tcPr>
          <w:p w14:paraId="2847A26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考核扣款￥500元/次</w:t>
            </w:r>
          </w:p>
        </w:tc>
      </w:tr>
      <w:tr w14:paraId="598B20B1">
        <w:tblPrEx>
          <w:tblCellMar>
            <w:top w:w="0" w:type="dxa"/>
            <w:left w:w="108" w:type="dxa"/>
            <w:bottom w:w="0" w:type="dxa"/>
            <w:right w:w="108" w:type="dxa"/>
          </w:tblCellMar>
        </w:tblPrEx>
        <w:trPr>
          <w:trHeight w:val="203" w:hRule="atLeast"/>
        </w:trPr>
        <w:tc>
          <w:tcPr>
            <w:tcW w:w="709" w:type="dxa"/>
            <w:vMerge w:val="continue"/>
            <w:tcBorders>
              <w:top w:val="nil"/>
              <w:left w:val="single" w:color="auto" w:sz="4" w:space="0"/>
              <w:bottom w:val="nil"/>
              <w:right w:val="single" w:color="auto" w:sz="4" w:space="0"/>
            </w:tcBorders>
            <w:noWrap w:val="0"/>
            <w:vAlign w:val="center"/>
          </w:tcPr>
          <w:p w14:paraId="42DD548D">
            <w:pPr>
              <w:spacing w:line="240" w:lineRule="auto"/>
              <w:ind w:firstLine="0" w:firstLineChars="0"/>
              <w:rPr>
                <w:rFonts w:hint="eastAsia" w:ascii="方正仿宋_GBK" w:hAnsi="方正仿宋_GBK" w:eastAsia="方正仿宋_GBK" w:cs="方正仿宋_GBK"/>
                <w:sz w:val="21"/>
                <w:szCs w:val="21"/>
              </w:rPr>
            </w:pPr>
          </w:p>
        </w:tc>
        <w:tc>
          <w:tcPr>
            <w:tcW w:w="4819" w:type="dxa"/>
            <w:tcBorders>
              <w:top w:val="single" w:color="auto" w:sz="4" w:space="0"/>
              <w:left w:val="nil"/>
              <w:bottom w:val="single" w:color="auto" w:sz="4" w:space="0"/>
              <w:right w:val="single" w:color="auto" w:sz="4" w:space="0"/>
            </w:tcBorders>
            <w:noWrap w:val="0"/>
            <w:vAlign w:val="center"/>
          </w:tcPr>
          <w:p w14:paraId="22BF12A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4.其他考勤管理不达标</w:t>
            </w:r>
          </w:p>
        </w:tc>
        <w:tc>
          <w:tcPr>
            <w:tcW w:w="3827" w:type="dxa"/>
            <w:tcBorders>
              <w:top w:val="single" w:color="auto" w:sz="4" w:space="0"/>
              <w:left w:val="nil"/>
              <w:bottom w:val="single" w:color="auto" w:sz="4" w:space="0"/>
              <w:right w:val="single" w:color="auto" w:sz="4" w:space="0"/>
            </w:tcBorders>
            <w:noWrap w:val="0"/>
            <w:vAlign w:val="center"/>
          </w:tcPr>
          <w:p w14:paraId="08C153C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考核扣款￥100—1000元/次</w:t>
            </w:r>
          </w:p>
        </w:tc>
      </w:tr>
      <w:tr w14:paraId="60E8D04A">
        <w:tblPrEx>
          <w:tblCellMar>
            <w:top w:w="0" w:type="dxa"/>
            <w:left w:w="108" w:type="dxa"/>
            <w:bottom w:w="0" w:type="dxa"/>
            <w:right w:w="108" w:type="dxa"/>
          </w:tblCellMar>
        </w:tblPrEx>
        <w:trPr>
          <w:trHeight w:val="237" w:hRule="atLeast"/>
        </w:trPr>
        <w:tc>
          <w:tcPr>
            <w:tcW w:w="709" w:type="dxa"/>
            <w:vMerge w:val="restart"/>
            <w:tcBorders>
              <w:top w:val="single" w:color="auto" w:sz="4" w:space="0"/>
              <w:left w:val="single" w:color="auto" w:sz="4" w:space="0"/>
              <w:right w:val="single" w:color="auto" w:sz="4" w:space="0"/>
            </w:tcBorders>
            <w:noWrap w:val="0"/>
            <w:vAlign w:val="center"/>
          </w:tcPr>
          <w:p w14:paraId="0F9A510B">
            <w:pPr>
              <w:spacing w:line="240" w:lineRule="auto"/>
              <w:ind w:firstLine="0" w:firstLineChars="0"/>
              <w:jc w:val="center"/>
              <w:rPr>
                <w:rFonts w:hint="eastAsia" w:ascii="方正仿宋_GBK" w:hAnsi="方正仿宋_GBK" w:eastAsia="方正仿宋_GBK" w:cs="方正仿宋_GBK"/>
                <w:sz w:val="21"/>
                <w:szCs w:val="21"/>
              </w:rPr>
            </w:pPr>
          </w:p>
          <w:p w14:paraId="47476E10">
            <w:pPr>
              <w:spacing w:line="240" w:lineRule="auto"/>
              <w:ind w:firstLine="0" w:firstLineChars="0"/>
              <w:jc w:val="center"/>
              <w:rPr>
                <w:rFonts w:hint="eastAsia" w:ascii="方正仿宋_GBK" w:hAnsi="方正仿宋_GBK" w:eastAsia="方正仿宋_GBK" w:cs="方正仿宋_GBK"/>
                <w:sz w:val="21"/>
                <w:szCs w:val="21"/>
              </w:rPr>
            </w:pPr>
          </w:p>
          <w:p w14:paraId="7EF9ECB6">
            <w:pPr>
              <w:spacing w:line="240" w:lineRule="auto"/>
              <w:ind w:firstLine="0" w:firstLineChars="0"/>
              <w:jc w:val="center"/>
              <w:rPr>
                <w:rFonts w:hint="eastAsia" w:ascii="方正仿宋_GBK" w:hAnsi="方正仿宋_GBK" w:eastAsia="方正仿宋_GBK" w:cs="方正仿宋_GBK"/>
                <w:sz w:val="21"/>
                <w:szCs w:val="21"/>
              </w:rPr>
            </w:pPr>
          </w:p>
          <w:p w14:paraId="37DA885B">
            <w:pPr>
              <w:spacing w:line="240" w:lineRule="auto"/>
              <w:ind w:firstLine="0" w:firstLineChars="0"/>
              <w:jc w:val="center"/>
              <w:rPr>
                <w:rFonts w:hint="eastAsia" w:ascii="方正仿宋_GBK" w:hAnsi="方正仿宋_GBK" w:eastAsia="方正仿宋_GBK" w:cs="方正仿宋_GBK"/>
                <w:sz w:val="21"/>
                <w:szCs w:val="21"/>
              </w:rPr>
            </w:pPr>
          </w:p>
          <w:p w14:paraId="3563E55A">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人员</w:t>
            </w:r>
          </w:p>
          <w:p w14:paraId="28840BBC">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管理</w:t>
            </w:r>
          </w:p>
        </w:tc>
        <w:tc>
          <w:tcPr>
            <w:tcW w:w="4819" w:type="dxa"/>
            <w:tcBorders>
              <w:top w:val="single" w:color="auto" w:sz="4" w:space="0"/>
              <w:left w:val="nil"/>
              <w:bottom w:val="single" w:color="auto" w:sz="4" w:space="0"/>
              <w:right w:val="single" w:color="auto" w:sz="4" w:space="0"/>
            </w:tcBorders>
            <w:noWrap w:val="0"/>
            <w:vAlign w:val="center"/>
          </w:tcPr>
          <w:p w14:paraId="4B18EE7F">
            <w:pPr>
              <w:widowControl/>
              <w:snapToGrid/>
              <w:spacing w:line="240" w:lineRule="auto"/>
              <w:ind w:firstLine="0" w:firstLineChars="0"/>
              <w:jc w:val="left"/>
              <w:rPr>
                <w:rFonts w:hint="eastAsia" w:ascii="方正仿宋_GBK" w:hAnsi="方正仿宋_GBK" w:cs="方正仿宋_GBK"/>
              </w:rPr>
            </w:pPr>
            <w:r>
              <w:rPr>
                <w:rFonts w:hint="eastAsia" w:ascii="方正仿宋_GBK" w:hAnsi="方正仿宋_GBK" w:eastAsia="方正仿宋_GBK" w:cs="方正仿宋_GBK"/>
                <w:sz w:val="21"/>
                <w:szCs w:val="21"/>
              </w:rPr>
              <w:t>1.合同期内，如比选人证实中选人派驻人员不足规定人数。</w:t>
            </w:r>
          </w:p>
        </w:tc>
        <w:tc>
          <w:tcPr>
            <w:tcW w:w="3827" w:type="dxa"/>
            <w:tcBorders>
              <w:top w:val="single" w:color="auto" w:sz="4" w:space="0"/>
              <w:left w:val="nil"/>
              <w:bottom w:val="single" w:color="auto" w:sz="4" w:space="0"/>
              <w:right w:val="single" w:color="auto" w:sz="4" w:space="0"/>
            </w:tcBorders>
            <w:noWrap w:val="0"/>
            <w:vAlign w:val="center"/>
          </w:tcPr>
          <w:p w14:paraId="133BB11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一周以内：缺岗人数*缺岗天数*（岗位含税单价*110%/24）。</w:t>
            </w:r>
          </w:p>
          <w:p w14:paraId="42FA479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一周以上：按缺岗人数*缺岗天数*（岗位含税单价*120%/24）。</w:t>
            </w:r>
          </w:p>
        </w:tc>
      </w:tr>
      <w:tr w14:paraId="7FCD24C4">
        <w:tblPrEx>
          <w:tblCellMar>
            <w:top w:w="0" w:type="dxa"/>
            <w:left w:w="108" w:type="dxa"/>
            <w:bottom w:w="0" w:type="dxa"/>
            <w:right w:w="108" w:type="dxa"/>
          </w:tblCellMar>
        </w:tblPrEx>
        <w:trPr>
          <w:trHeight w:val="820" w:hRule="atLeast"/>
        </w:trPr>
        <w:tc>
          <w:tcPr>
            <w:tcW w:w="709" w:type="dxa"/>
            <w:vMerge w:val="continue"/>
            <w:tcBorders>
              <w:left w:val="single" w:color="auto" w:sz="4" w:space="0"/>
              <w:right w:val="single" w:color="auto" w:sz="4" w:space="0"/>
            </w:tcBorders>
            <w:noWrap w:val="0"/>
            <w:vAlign w:val="center"/>
          </w:tcPr>
          <w:p w14:paraId="3989287A">
            <w:pPr>
              <w:spacing w:line="240" w:lineRule="auto"/>
              <w:ind w:firstLine="0" w:firstLineChars="0"/>
              <w:jc w:val="center"/>
              <w:rPr>
                <w:rFonts w:hint="eastAsia" w:ascii="方正仿宋_GBK" w:hAnsi="方正仿宋_GBK" w:eastAsia="方正仿宋_GBK" w:cs="方正仿宋_GBK"/>
                <w:sz w:val="21"/>
                <w:szCs w:val="21"/>
              </w:rPr>
            </w:pPr>
          </w:p>
        </w:tc>
        <w:tc>
          <w:tcPr>
            <w:tcW w:w="4819" w:type="dxa"/>
            <w:tcBorders>
              <w:top w:val="single" w:color="auto" w:sz="4" w:space="0"/>
              <w:left w:val="nil"/>
              <w:right w:val="single" w:color="auto" w:sz="4" w:space="0"/>
            </w:tcBorders>
            <w:noWrap w:val="0"/>
            <w:vAlign w:val="center"/>
          </w:tcPr>
          <w:p w14:paraId="0A70619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lang w:val="en-US" w:eastAsia="zh-CN"/>
              </w:rPr>
              <w:t>2.</w:t>
            </w:r>
            <w:r>
              <w:rPr>
                <w:rFonts w:hint="eastAsia" w:ascii="方正仿宋_GBK" w:hAnsi="方正仿宋_GBK" w:eastAsia="方正仿宋_GBK" w:cs="方正仿宋_GBK"/>
                <w:sz w:val="21"/>
                <w:szCs w:val="21"/>
              </w:rPr>
              <w:t>.中选人更换或调整安全综合主管，3天内完成，每超过1天扣150元。</w:t>
            </w:r>
          </w:p>
        </w:tc>
        <w:tc>
          <w:tcPr>
            <w:tcW w:w="3827" w:type="dxa"/>
            <w:tcBorders>
              <w:top w:val="single" w:color="auto" w:sz="4" w:space="0"/>
              <w:left w:val="nil"/>
              <w:bottom w:val="single" w:color="auto" w:sz="4" w:space="0"/>
              <w:right w:val="single" w:color="auto" w:sz="4" w:space="0"/>
            </w:tcBorders>
            <w:noWrap w:val="0"/>
            <w:vAlign w:val="center"/>
          </w:tcPr>
          <w:p w14:paraId="2C600E0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考核扣款￥150—1000元/次</w:t>
            </w:r>
          </w:p>
        </w:tc>
      </w:tr>
      <w:tr w14:paraId="46667FEC">
        <w:tblPrEx>
          <w:tblCellMar>
            <w:top w:w="0" w:type="dxa"/>
            <w:left w:w="108" w:type="dxa"/>
            <w:bottom w:w="0" w:type="dxa"/>
            <w:right w:w="108" w:type="dxa"/>
          </w:tblCellMar>
        </w:tblPrEx>
        <w:trPr>
          <w:trHeight w:val="169" w:hRule="atLeast"/>
        </w:trPr>
        <w:tc>
          <w:tcPr>
            <w:tcW w:w="709" w:type="dxa"/>
            <w:vMerge w:val="continue"/>
            <w:tcBorders>
              <w:left w:val="single" w:color="auto" w:sz="4" w:space="0"/>
              <w:right w:val="single" w:color="auto" w:sz="4" w:space="0"/>
            </w:tcBorders>
            <w:noWrap w:val="0"/>
            <w:vAlign w:val="center"/>
          </w:tcPr>
          <w:p w14:paraId="403A05C0">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3C27331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3</w:t>
            </w:r>
            <w:r>
              <w:rPr>
                <w:rFonts w:hint="eastAsia" w:ascii="方正仿宋_GBK" w:hAnsi="方正仿宋_GBK" w:eastAsia="方正仿宋_GBK" w:cs="方正仿宋_GBK"/>
                <w:sz w:val="21"/>
                <w:szCs w:val="21"/>
              </w:rPr>
              <w:t>.中选人派驻形象岗队员身高要求：男性身高 1.75 米以上，女性身高1.65米以上</w:t>
            </w:r>
          </w:p>
          <w:p w14:paraId="0157490E">
            <w:pPr>
              <w:spacing w:line="240" w:lineRule="auto"/>
              <w:ind w:firstLine="0" w:firstLineChars="0"/>
              <w:rPr>
                <w:rFonts w:hint="eastAsia" w:ascii="方正仿宋_GBK" w:hAnsi="方正仿宋_GBK" w:cs="方正仿宋_GBK"/>
              </w:rPr>
            </w:pPr>
            <w:r>
              <w:rPr>
                <w:rFonts w:hint="eastAsia" w:ascii="方正仿宋_GBK" w:hAnsi="方正仿宋_GBK" w:eastAsia="方正仿宋_GBK" w:cs="方正仿宋_GBK"/>
                <w:sz w:val="21"/>
                <w:szCs w:val="21"/>
              </w:rPr>
              <w:t>中选人派驻中控室男性身高1.70米以上</w:t>
            </w:r>
          </w:p>
          <w:p w14:paraId="2B04A35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中选人派驻秩序员男性身高 1.70 米以上，女性身高 1.60 米以上</w:t>
            </w:r>
          </w:p>
          <w:p w14:paraId="1539A49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中选人派驻安全综合主管身高要求：1.70米以上。</w:t>
            </w:r>
          </w:p>
        </w:tc>
        <w:tc>
          <w:tcPr>
            <w:tcW w:w="3827" w:type="dxa"/>
            <w:tcBorders>
              <w:top w:val="single" w:color="auto" w:sz="4" w:space="0"/>
              <w:left w:val="nil"/>
              <w:bottom w:val="single" w:color="auto" w:sz="4" w:space="0"/>
              <w:right w:val="single" w:color="auto" w:sz="4" w:space="0"/>
            </w:tcBorders>
            <w:noWrap w:val="0"/>
            <w:vAlign w:val="center"/>
          </w:tcPr>
          <w:p w14:paraId="6DDF0C8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低于身高要求人数*￥50元/人/天。</w:t>
            </w:r>
          </w:p>
        </w:tc>
      </w:tr>
      <w:tr w14:paraId="3ED71496">
        <w:tblPrEx>
          <w:tblCellMar>
            <w:top w:w="0" w:type="dxa"/>
            <w:left w:w="108" w:type="dxa"/>
            <w:bottom w:w="0" w:type="dxa"/>
            <w:right w:w="108" w:type="dxa"/>
          </w:tblCellMar>
        </w:tblPrEx>
        <w:trPr>
          <w:trHeight w:val="142" w:hRule="atLeast"/>
        </w:trPr>
        <w:tc>
          <w:tcPr>
            <w:tcW w:w="709" w:type="dxa"/>
            <w:vMerge w:val="continue"/>
            <w:tcBorders>
              <w:left w:val="single" w:color="auto" w:sz="4" w:space="0"/>
              <w:right w:val="single" w:color="auto" w:sz="4" w:space="0"/>
            </w:tcBorders>
            <w:noWrap w:val="0"/>
            <w:vAlign w:val="center"/>
          </w:tcPr>
          <w:p w14:paraId="69D776A0">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1733B2C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4</w:t>
            </w:r>
            <w:r>
              <w:rPr>
                <w:rFonts w:hint="eastAsia" w:ascii="方正仿宋_GBK" w:hAnsi="方正仿宋_GBK" w:eastAsia="方正仿宋_GBK" w:cs="方正仿宋_GBK"/>
                <w:sz w:val="21"/>
                <w:szCs w:val="21"/>
              </w:rPr>
              <w:t>.中选人人员年龄要求： 按比选文件及合同约定执行，超出年龄要求进行相应处罚。</w:t>
            </w:r>
          </w:p>
        </w:tc>
        <w:tc>
          <w:tcPr>
            <w:tcW w:w="3827" w:type="dxa"/>
            <w:tcBorders>
              <w:top w:val="single" w:color="auto" w:sz="4" w:space="0"/>
              <w:left w:val="nil"/>
              <w:bottom w:val="single" w:color="auto" w:sz="4" w:space="0"/>
              <w:right w:val="single" w:color="auto" w:sz="4" w:space="0"/>
            </w:tcBorders>
            <w:noWrap w:val="0"/>
            <w:vAlign w:val="center"/>
          </w:tcPr>
          <w:p w14:paraId="5E99E80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考核扣款￥20元/人/天</w:t>
            </w:r>
          </w:p>
        </w:tc>
      </w:tr>
      <w:tr w14:paraId="00AC953A">
        <w:tblPrEx>
          <w:tblCellMar>
            <w:top w:w="0" w:type="dxa"/>
            <w:left w:w="108" w:type="dxa"/>
            <w:bottom w:w="0" w:type="dxa"/>
            <w:right w:w="108" w:type="dxa"/>
          </w:tblCellMar>
        </w:tblPrEx>
        <w:trPr>
          <w:trHeight w:val="204" w:hRule="atLeast"/>
        </w:trPr>
        <w:tc>
          <w:tcPr>
            <w:tcW w:w="709" w:type="dxa"/>
            <w:vMerge w:val="continue"/>
            <w:tcBorders>
              <w:left w:val="single" w:color="auto" w:sz="4" w:space="0"/>
              <w:right w:val="single" w:color="auto" w:sz="4" w:space="0"/>
            </w:tcBorders>
            <w:noWrap w:val="0"/>
            <w:vAlign w:val="center"/>
          </w:tcPr>
          <w:p w14:paraId="0F59A2CC">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40899FC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5</w:t>
            </w:r>
            <w:r>
              <w:rPr>
                <w:rFonts w:hint="eastAsia" w:ascii="方正仿宋_GBK" w:hAnsi="方正仿宋_GBK" w:eastAsia="方正仿宋_GBK" w:cs="方正仿宋_GBK"/>
                <w:sz w:val="21"/>
                <w:szCs w:val="21"/>
              </w:rPr>
              <w:t>.中选人人员流失率要求：秩序维护人员月度流失率低于10%,年度流失率低于12%。</w:t>
            </w:r>
          </w:p>
        </w:tc>
        <w:tc>
          <w:tcPr>
            <w:tcW w:w="3827" w:type="dxa"/>
            <w:tcBorders>
              <w:top w:val="single" w:color="auto" w:sz="4" w:space="0"/>
              <w:left w:val="nil"/>
              <w:bottom w:val="single" w:color="auto" w:sz="4" w:space="0"/>
              <w:right w:val="single" w:color="auto" w:sz="4" w:space="0"/>
            </w:tcBorders>
            <w:noWrap w:val="0"/>
            <w:vAlign w:val="center"/>
          </w:tcPr>
          <w:p w14:paraId="706FE3C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年度人员流失率高于12%，考核扣款2000元。</w:t>
            </w:r>
          </w:p>
        </w:tc>
      </w:tr>
      <w:tr w14:paraId="261E7F0B">
        <w:tblPrEx>
          <w:tblCellMar>
            <w:top w:w="0" w:type="dxa"/>
            <w:left w:w="108" w:type="dxa"/>
            <w:bottom w:w="0" w:type="dxa"/>
            <w:right w:w="108" w:type="dxa"/>
          </w:tblCellMar>
        </w:tblPrEx>
        <w:trPr>
          <w:trHeight w:val="204" w:hRule="atLeast"/>
        </w:trPr>
        <w:tc>
          <w:tcPr>
            <w:tcW w:w="709" w:type="dxa"/>
            <w:vMerge w:val="continue"/>
            <w:tcBorders>
              <w:left w:val="single" w:color="auto" w:sz="4" w:space="0"/>
              <w:right w:val="single" w:color="auto" w:sz="4" w:space="0"/>
            </w:tcBorders>
            <w:noWrap w:val="0"/>
            <w:vAlign w:val="center"/>
          </w:tcPr>
          <w:p w14:paraId="72ABC021">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3BD0001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6</w:t>
            </w:r>
            <w:r>
              <w:rPr>
                <w:rFonts w:hint="eastAsia" w:ascii="方正仿宋_GBK" w:hAnsi="方正仿宋_GBK" w:eastAsia="方正仿宋_GBK" w:cs="方正仿宋_GBK"/>
                <w:sz w:val="21"/>
                <w:szCs w:val="21"/>
              </w:rPr>
              <w:t>.中选人人员有违法不良记录</w:t>
            </w:r>
          </w:p>
        </w:tc>
        <w:tc>
          <w:tcPr>
            <w:tcW w:w="3827" w:type="dxa"/>
            <w:tcBorders>
              <w:top w:val="single" w:color="auto" w:sz="4" w:space="0"/>
              <w:left w:val="nil"/>
              <w:bottom w:val="single" w:color="auto" w:sz="4" w:space="0"/>
              <w:right w:val="single" w:color="auto" w:sz="4" w:space="0"/>
            </w:tcBorders>
            <w:noWrap w:val="0"/>
            <w:vAlign w:val="center"/>
          </w:tcPr>
          <w:p w14:paraId="098E7BC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考核扣款￥200元/人，并要求3天内更换人员</w:t>
            </w:r>
          </w:p>
        </w:tc>
      </w:tr>
      <w:tr w14:paraId="2E5C5166">
        <w:tblPrEx>
          <w:tblCellMar>
            <w:top w:w="0" w:type="dxa"/>
            <w:left w:w="108" w:type="dxa"/>
            <w:bottom w:w="0" w:type="dxa"/>
            <w:right w:w="108" w:type="dxa"/>
          </w:tblCellMar>
        </w:tblPrEx>
        <w:trPr>
          <w:trHeight w:val="169" w:hRule="atLeast"/>
        </w:trPr>
        <w:tc>
          <w:tcPr>
            <w:tcW w:w="709" w:type="dxa"/>
            <w:vMerge w:val="continue"/>
            <w:tcBorders>
              <w:left w:val="single" w:color="auto" w:sz="4" w:space="0"/>
              <w:right w:val="single" w:color="auto" w:sz="4" w:space="0"/>
            </w:tcBorders>
            <w:noWrap w:val="0"/>
            <w:vAlign w:val="center"/>
          </w:tcPr>
          <w:p w14:paraId="6C734C6A">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42844F0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7</w:t>
            </w:r>
            <w:r>
              <w:rPr>
                <w:rFonts w:hint="eastAsia" w:ascii="方正仿宋_GBK" w:hAnsi="方正仿宋_GBK" w:eastAsia="方正仿宋_GBK" w:cs="方正仿宋_GBK"/>
                <w:sz w:val="21"/>
                <w:szCs w:val="21"/>
              </w:rPr>
              <w:t>.中选人私自调班、换班、换岗、换人</w:t>
            </w:r>
          </w:p>
        </w:tc>
        <w:tc>
          <w:tcPr>
            <w:tcW w:w="3827" w:type="dxa"/>
            <w:tcBorders>
              <w:top w:val="single" w:color="auto" w:sz="4" w:space="0"/>
              <w:left w:val="nil"/>
              <w:bottom w:val="single" w:color="auto" w:sz="4" w:space="0"/>
              <w:right w:val="single" w:color="auto" w:sz="4" w:space="0"/>
            </w:tcBorders>
            <w:noWrap w:val="0"/>
            <w:vAlign w:val="center"/>
          </w:tcPr>
          <w:p w14:paraId="4120050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考核扣款￥20元/人/次</w:t>
            </w:r>
          </w:p>
        </w:tc>
      </w:tr>
      <w:tr w14:paraId="1E620299">
        <w:tblPrEx>
          <w:tblCellMar>
            <w:top w:w="0" w:type="dxa"/>
            <w:left w:w="108" w:type="dxa"/>
            <w:bottom w:w="0" w:type="dxa"/>
            <w:right w:w="108" w:type="dxa"/>
          </w:tblCellMar>
        </w:tblPrEx>
        <w:trPr>
          <w:trHeight w:val="177" w:hRule="atLeast"/>
        </w:trPr>
        <w:tc>
          <w:tcPr>
            <w:tcW w:w="709" w:type="dxa"/>
            <w:vMerge w:val="continue"/>
            <w:tcBorders>
              <w:left w:val="single" w:color="auto" w:sz="4" w:space="0"/>
              <w:bottom w:val="single" w:color="auto" w:sz="4" w:space="0"/>
              <w:right w:val="single" w:color="auto" w:sz="4" w:space="0"/>
            </w:tcBorders>
            <w:noWrap w:val="0"/>
            <w:vAlign w:val="center"/>
          </w:tcPr>
          <w:p w14:paraId="68CAA068">
            <w:pPr>
              <w:spacing w:line="240" w:lineRule="auto"/>
              <w:ind w:firstLine="0" w:firstLineChars="0"/>
              <w:rPr>
                <w:rFonts w:hint="eastAsia" w:ascii="方正仿宋_GBK" w:hAnsi="方正仿宋_GBK" w:eastAsia="方正仿宋_GBK" w:cs="方正仿宋_GBK"/>
                <w:sz w:val="22"/>
                <w:szCs w:val="21"/>
              </w:rPr>
            </w:pPr>
          </w:p>
        </w:tc>
        <w:tc>
          <w:tcPr>
            <w:tcW w:w="4819" w:type="dxa"/>
            <w:tcBorders>
              <w:top w:val="single" w:color="auto" w:sz="4" w:space="0"/>
              <w:left w:val="nil"/>
              <w:bottom w:val="single" w:color="auto" w:sz="4" w:space="0"/>
              <w:right w:val="single" w:color="auto" w:sz="4" w:space="0"/>
            </w:tcBorders>
            <w:noWrap w:val="0"/>
            <w:vAlign w:val="center"/>
          </w:tcPr>
          <w:p w14:paraId="02EF711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8</w:t>
            </w:r>
            <w:r>
              <w:rPr>
                <w:rFonts w:hint="eastAsia" w:ascii="方正仿宋_GBK" w:hAnsi="方正仿宋_GBK" w:eastAsia="方正仿宋_GBK" w:cs="方正仿宋_GBK"/>
                <w:sz w:val="21"/>
                <w:szCs w:val="21"/>
              </w:rPr>
              <w:t>.其他人员管控标准不到位</w:t>
            </w:r>
          </w:p>
        </w:tc>
        <w:tc>
          <w:tcPr>
            <w:tcW w:w="3827" w:type="dxa"/>
            <w:tcBorders>
              <w:top w:val="single" w:color="auto" w:sz="4" w:space="0"/>
              <w:left w:val="nil"/>
              <w:bottom w:val="single" w:color="auto" w:sz="4" w:space="0"/>
              <w:right w:val="single" w:color="auto" w:sz="4" w:space="0"/>
            </w:tcBorders>
            <w:noWrap w:val="0"/>
            <w:vAlign w:val="center"/>
          </w:tcPr>
          <w:p w14:paraId="6C0092C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考核扣款￥20—1000元/次</w:t>
            </w:r>
          </w:p>
        </w:tc>
      </w:tr>
    </w:tbl>
    <w:p w14:paraId="1B657921">
      <w:pPr>
        <w:spacing w:line="240" w:lineRule="auto"/>
        <w:ind w:firstLine="482" w:firstLineChars="200"/>
        <w:rPr>
          <w:rFonts w:hint="eastAsia" w:ascii="方正仿宋_GBK" w:hAnsi="方正仿宋_GBK" w:eastAsia="方正仿宋_GBK" w:cs="方正仿宋_GBK"/>
          <w:b/>
          <w:sz w:val="21"/>
          <w:szCs w:val="21"/>
        </w:rPr>
      </w:pPr>
      <w:r>
        <w:rPr>
          <w:rFonts w:hint="eastAsia" w:ascii="方正仿宋_GBK" w:hAnsi="方正仿宋_GBK" w:eastAsia="方正仿宋_GBK" w:cs="方正仿宋_GBK"/>
          <w:b/>
          <w:lang w:eastAsia="zh-CN"/>
        </w:rPr>
        <w:t>（</w:t>
      </w:r>
      <w:r>
        <w:rPr>
          <w:rFonts w:hint="eastAsia" w:ascii="方正仿宋_GBK" w:hAnsi="方正仿宋_GBK" w:eastAsia="方正仿宋_GBK" w:cs="方正仿宋_GBK"/>
          <w:b/>
          <w:lang w:val="en-US" w:eastAsia="zh-CN"/>
        </w:rPr>
        <w:t>三</w:t>
      </w:r>
      <w:r>
        <w:rPr>
          <w:rFonts w:hint="eastAsia" w:ascii="方正仿宋_GBK" w:hAnsi="方正仿宋_GBK" w:eastAsia="方正仿宋_GBK" w:cs="方正仿宋_GBK"/>
          <w:b/>
          <w:lang w:eastAsia="zh-CN"/>
        </w:rPr>
        <w:t>）</w:t>
      </w:r>
      <w:r>
        <w:rPr>
          <w:rFonts w:hint="eastAsia" w:ascii="方正仿宋_GBK" w:hAnsi="方正仿宋_GBK" w:eastAsia="方正仿宋_GBK" w:cs="方正仿宋_GBK"/>
          <w:b/>
        </w:rPr>
        <w:t>秩序服务标准</w:t>
      </w:r>
    </w:p>
    <w:tbl>
      <w:tblPr>
        <w:tblStyle w:val="58"/>
        <w:tblpPr w:leftFromText="180" w:rightFromText="180" w:vertAnchor="text" w:horzAnchor="page" w:tblpX="1087" w:tblpY="450"/>
        <w:tblOverlap w:val="never"/>
        <w:tblW w:w="9923" w:type="dxa"/>
        <w:tblInd w:w="0" w:type="dxa"/>
        <w:tblLayout w:type="fixed"/>
        <w:tblCellMar>
          <w:top w:w="0" w:type="dxa"/>
          <w:left w:w="108" w:type="dxa"/>
          <w:bottom w:w="0" w:type="dxa"/>
          <w:right w:w="108" w:type="dxa"/>
        </w:tblCellMar>
      </w:tblPr>
      <w:tblGrid>
        <w:gridCol w:w="1966"/>
        <w:gridCol w:w="7957"/>
      </w:tblGrid>
      <w:tr w14:paraId="540FF72C">
        <w:tblPrEx>
          <w:tblCellMar>
            <w:top w:w="0" w:type="dxa"/>
            <w:left w:w="108" w:type="dxa"/>
            <w:bottom w:w="0" w:type="dxa"/>
            <w:right w:w="108" w:type="dxa"/>
          </w:tblCellMar>
        </w:tblPrEx>
        <w:trPr>
          <w:trHeight w:val="285" w:hRule="atLeast"/>
        </w:trPr>
        <w:tc>
          <w:tcPr>
            <w:tcW w:w="1966" w:type="dxa"/>
            <w:vMerge w:val="restart"/>
            <w:tcBorders>
              <w:top w:val="single" w:color="auto" w:sz="4" w:space="0"/>
              <w:left w:val="single" w:color="auto" w:sz="4" w:space="0"/>
              <w:bottom w:val="single" w:color="auto" w:sz="4" w:space="0"/>
              <w:right w:val="single" w:color="auto" w:sz="4" w:space="0"/>
            </w:tcBorders>
            <w:noWrap/>
            <w:vAlign w:val="center"/>
          </w:tcPr>
          <w:p w14:paraId="46F886FB">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工作范围</w:t>
            </w:r>
          </w:p>
        </w:tc>
        <w:tc>
          <w:tcPr>
            <w:tcW w:w="7957" w:type="dxa"/>
            <w:tcBorders>
              <w:top w:val="single" w:color="auto" w:sz="4" w:space="0"/>
              <w:left w:val="nil"/>
              <w:bottom w:val="single" w:color="auto" w:sz="4" w:space="0"/>
              <w:right w:val="single" w:color="auto" w:sz="4" w:space="0"/>
            </w:tcBorders>
            <w:noWrap w:val="0"/>
            <w:vAlign w:val="bottom"/>
          </w:tcPr>
          <w:p w14:paraId="72656FD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1.负责服务区域内的全时段巡查、消防管理、治安防范和公共秩序维护</w:t>
            </w:r>
          </w:p>
        </w:tc>
      </w:tr>
      <w:tr w14:paraId="477B9905">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0EBC663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067E87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2.负责服务区域内的出入口值守和临停收费工作</w:t>
            </w:r>
          </w:p>
        </w:tc>
      </w:tr>
      <w:tr w14:paraId="6394A35B">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041C4F4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7E07AF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highlight w:val="none"/>
              </w:rPr>
              <w:t>3.负责服务区域中控室（含监控室和消控室）的值守管理工作</w:t>
            </w:r>
          </w:p>
        </w:tc>
      </w:tr>
      <w:tr w14:paraId="30BD5AA4">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3F38884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394B40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4.负责服务区域内的交通秩序管控和高峰期车辆指挥疏导工作</w:t>
            </w:r>
          </w:p>
        </w:tc>
      </w:tr>
      <w:tr w14:paraId="5B065FFF">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1FA8746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1D3A1A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5.负责协助招标单位做好服务区域内的各类安全隐患排查整治工作</w:t>
            </w:r>
          </w:p>
        </w:tc>
      </w:tr>
      <w:tr w14:paraId="72AD1570">
        <w:tblPrEx>
          <w:tblCellMar>
            <w:top w:w="0" w:type="dxa"/>
            <w:left w:w="108" w:type="dxa"/>
            <w:bottom w:w="0" w:type="dxa"/>
            <w:right w:w="108" w:type="dxa"/>
          </w:tblCellMar>
        </w:tblPrEx>
        <w:trPr>
          <w:trHeight w:val="570"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3AC4716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98BE17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6.负责服务区域内各类突发事件、紧急事件、自然灾害天气的预控、前期处置及配合招标单位进行相关善后处置工作。</w:t>
            </w:r>
          </w:p>
        </w:tc>
      </w:tr>
      <w:tr w14:paraId="00207D60">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04E0D95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19AFDB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7.负责服务区域内客户的报警求助及相关帮扶工作。</w:t>
            </w:r>
          </w:p>
        </w:tc>
      </w:tr>
      <w:tr w14:paraId="798DE0EE">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73401AB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6B1635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8.落实招标单位赋予的其他安全护卫和秩序维护服务工作。</w:t>
            </w:r>
          </w:p>
        </w:tc>
      </w:tr>
      <w:tr w14:paraId="5DE7A355">
        <w:tblPrEx>
          <w:tblCellMar>
            <w:top w:w="0" w:type="dxa"/>
            <w:left w:w="108" w:type="dxa"/>
            <w:bottom w:w="0" w:type="dxa"/>
            <w:right w:w="108" w:type="dxa"/>
          </w:tblCellMar>
        </w:tblPrEx>
        <w:trPr>
          <w:trHeight w:val="1500" w:hRule="atLeast"/>
        </w:trPr>
        <w:tc>
          <w:tcPr>
            <w:tcW w:w="1966" w:type="dxa"/>
            <w:vMerge w:val="restart"/>
            <w:tcBorders>
              <w:top w:val="nil"/>
              <w:left w:val="single" w:color="auto" w:sz="4" w:space="0"/>
              <w:bottom w:val="single" w:color="auto" w:sz="4" w:space="0"/>
              <w:right w:val="single" w:color="auto" w:sz="4" w:space="0"/>
            </w:tcBorders>
            <w:noWrap/>
            <w:vAlign w:val="center"/>
          </w:tcPr>
          <w:p w14:paraId="0C52BF67">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人员标准</w:t>
            </w:r>
          </w:p>
        </w:tc>
        <w:tc>
          <w:tcPr>
            <w:tcW w:w="7957" w:type="dxa"/>
            <w:tcBorders>
              <w:top w:val="nil"/>
              <w:left w:val="nil"/>
              <w:bottom w:val="single" w:color="auto" w:sz="4" w:space="0"/>
              <w:right w:val="single" w:color="auto" w:sz="4" w:space="0"/>
            </w:tcBorders>
            <w:noWrap w:val="0"/>
            <w:vAlign w:val="bottom"/>
          </w:tcPr>
          <w:p w14:paraId="793C7D54">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1.身体条件：身体健康，四肢健全、头脑灵活，体型中等，面貌、脾气平和，视力（含矫正）需在1.0以上，形象气质佳，无纹身，无传染疾病，无语言及行动障碍，所有人员面貌与年龄基本相符，各岗位具体要求如下：</w:t>
            </w:r>
          </w:p>
          <w:p w14:paraId="32D653C2">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en-US" w:eastAsia="zh-CN"/>
              </w:rPr>
              <w:t>安全综合主管1名</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限男性</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rPr>
              <w:t>：年龄18至</w:t>
            </w:r>
            <w:r>
              <w:rPr>
                <w:rFonts w:hint="eastAsia" w:ascii="方正仿宋_GBK" w:hAnsi="方正仿宋_GBK" w:eastAsia="方正仿宋_GBK" w:cs="方正仿宋_GBK"/>
                <w:sz w:val="21"/>
                <w:szCs w:val="21"/>
                <w:highlight w:val="none"/>
                <w:lang w:val="en-US" w:eastAsia="zh-CN"/>
              </w:rPr>
              <w:t>55</w:t>
            </w:r>
            <w:r>
              <w:rPr>
                <w:rFonts w:hint="eastAsia" w:ascii="方正仿宋_GBK" w:hAnsi="方正仿宋_GBK" w:eastAsia="方正仿宋_GBK" w:cs="方正仿宋_GBK"/>
                <w:sz w:val="21"/>
                <w:szCs w:val="21"/>
                <w:highlight w:val="none"/>
              </w:rPr>
              <w:t>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包含55周岁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，男性身高1.7</w:t>
            </w:r>
            <w:r>
              <w:rPr>
                <w:rFonts w:hint="eastAsia" w:ascii="方正仿宋_GBK" w:hAnsi="方正仿宋_GBK" w:eastAsia="方正仿宋_GBK" w:cs="方正仿宋_GBK"/>
                <w:sz w:val="21"/>
                <w:szCs w:val="21"/>
                <w:highlight w:val="none"/>
                <w:lang w:val="en-US" w:eastAsia="zh-CN"/>
              </w:rPr>
              <w:t>0</w:t>
            </w:r>
            <w:r>
              <w:rPr>
                <w:rFonts w:hint="eastAsia" w:ascii="方正仿宋_GBK" w:hAnsi="方正仿宋_GBK" w:eastAsia="方正仿宋_GBK" w:cs="方正仿宋_GBK"/>
                <w:sz w:val="21"/>
                <w:szCs w:val="21"/>
                <w:highlight w:val="none"/>
              </w:rPr>
              <w:t>米以</w:t>
            </w:r>
            <w:r>
              <w:rPr>
                <w:rFonts w:hint="eastAsia" w:ascii="方正仿宋_GBK" w:hAnsi="方正仿宋_GBK" w:eastAsia="方正仿宋_GBK" w:cs="方正仿宋_GBK"/>
                <w:sz w:val="21"/>
                <w:szCs w:val="21"/>
                <w:highlight w:val="none"/>
                <w:lang w:val="en-US" w:eastAsia="zh-CN"/>
              </w:rPr>
              <w:t>上</w:t>
            </w:r>
            <w:r>
              <w:rPr>
                <w:rFonts w:hint="eastAsia" w:ascii="方正仿宋_GBK" w:hAnsi="方正仿宋_GBK" w:eastAsia="方正仿宋_GBK" w:cs="方正仿宋_GBK"/>
                <w:sz w:val="21"/>
                <w:szCs w:val="21"/>
                <w:highlight w:val="none"/>
              </w:rPr>
              <w:t>。</w:t>
            </w:r>
          </w:p>
          <w:p w14:paraId="39F4DDD0">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en-US" w:eastAsia="zh-CN"/>
              </w:rPr>
              <w:t>秩序队员3名</w:t>
            </w:r>
            <w:r>
              <w:rPr>
                <w:rFonts w:hint="eastAsia" w:ascii="方正仿宋_GBK" w:hAnsi="方正仿宋_GBK" w:eastAsia="方正仿宋_GBK" w:cs="方正仿宋_GBK"/>
                <w:sz w:val="21"/>
                <w:szCs w:val="21"/>
                <w:highlight w:val="none"/>
              </w:rPr>
              <w:t>：男性年龄 18 至 58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，身高 1.70 米以上，女性年龄 18-45岁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包含45周岁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，身高 1.60 米以上，初中及以上学历，具有相关工作经验。</w:t>
            </w:r>
          </w:p>
          <w:p w14:paraId="20FF40D0">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en-US" w:eastAsia="zh-CN"/>
              </w:rPr>
              <w:t>中控室</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限男性</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4名</w:t>
            </w:r>
            <w:r>
              <w:rPr>
                <w:rFonts w:hint="eastAsia" w:ascii="方正仿宋_GBK" w:hAnsi="方正仿宋_GBK" w:eastAsia="方正仿宋_GBK" w:cs="方正仿宋_GBK"/>
                <w:sz w:val="21"/>
                <w:szCs w:val="21"/>
                <w:highlight w:val="none"/>
              </w:rPr>
              <w:t>：年龄18至</w:t>
            </w:r>
            <w:r>
              <w:rPr>
                <w:rFonts w:hint="eastAsia" w:ascii="方正仿宋_GBK" w:hAnsi="方正仿宋_GBK" w:eastAsia="方正仿宋_GBK" w:cs="方正仿宋_GBK"/>
                <w:sz w:val="21"/>
                <w:szCs w:val="21"/>
                <w:highlight w:val="none"/>
                <w:lang w:val="en-US" w:eastAsia="zh-CN"/>
              </w:rPr>
              <w:t>58</w:t>
            </w:r>
            <w:r>
              <w:rPr>
                <w:rFonts w:hint="eastAsia" w:ascii="方正仿宋_GBK" w:hAnsi="方正仿宋_GBK" w:eastAsia="方正仿宋_GBK" w:cs="方正仿宋_GBK"/>
                <w:sz w:val="21"/>
                <w:szCs w:val="21"/>
                <w:highlight w:val="none"/>
              </w:rPr>
              <w:t>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，身高1.70米以上</w:t>
            </w:r>
          </w:p>
          <w:p w14:paraId="7AEFEA7F">
            <w:pPr>
              <w:spacing w:line="240" w:lineRule="auto"/>
              <w:ind w:firstLine="0" w:firstLineChars="0"/>
              <w:rPr>
                <w:rFonts w:hint="eastAsia" w:ascii="方正仿宋_GBK" w:hAnsi="方正仿宋_GBK" w:eastAsia="方正仿宋_GBK" w:cs="方正仿宋_GBK"/>
                <w:sz w:val="21"/>
                <w:szCs w:val="21"/>
                <w:highlight w:val="yellow"/>
                <w:lang w:val="en-US" w:eastAsia="zh-CN"/>
              </w:rPr>
            </w:pPr>
            <w:r>
              <w:rPr>
                <w:rFonts w:hint="eastAsia" w:ascii="方正仿宋_GBK" w:hAnsi="方正仿宋_GBK" w:eastAsia="方正仿宋_GBK" w:cs="方正仿宋_GBK"/>
                <w:sz w:val="21"/>
                <w:szCs w:val="21"/>
                <w:highlight w:val="none"/>
              </w:rPr>
              <w:t>形象岗</w:t>
            </w:r>
            <w:r>
              <w:rPr>
                <w:rFonts w:hint="eastAsia" w:ascii="方正仿宋_GBK" w:hAnsi="方正仿宋_GBK" w:eastAsia="方正仿宋_GBK" w:cs="方正仿宋_GBK"/>
                <w:sz w:val="21"/>
                <w:szCs w:val="21"/>
                <w:highlight w:val="none"/>
                <w:lang w:val="en-US" w:eastAsia="zh-CN"/>
              </w:rPr>
              <w:t>2名</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rPr>
              <w:t>年龄 18 至 40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包含40周岁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，高中及以上学历，男性身高 1.75 米以上，女性身高1.65米以上，具有相关工作经验</w:t>
            </w:r>
          </w:p>
          <w:p w14:paraId="1C1BDAED">
            <w:pPr>
              <w:spacing w:line="240" w:lineRule="auto"/>
              <w:ind w:firstLine="0" w:firstLineChars="0"/>
              <w:rPr>
                <w:rFonts w:hint="eastAsia" w:ascii="方正仿宋_GBK" w:hAnsi="方正仿宋_GBK" w:eastAsia="方正仿宋_GBK" w:cs="方正仿宋_GBK"/>
                <w:b/>
                <w:sz w:val="21"/>
                <w:szCs w:val="21"/>
                <w:highlight w:val="none"/>
              </w:rPr>
            </w:pPr>
            <w:r>
              <w:rPr>
                <w:rFonts w:hint="eastAsia" w:ascii="宋体" w:hAnsi="宋体" w:cs="方正仿宋_GBK"/>
                <w:sz w:val="21"/>
                <w:szCs w:val="21"/>
                <w:lang w:bidi="ar"/>
              </w:rPr>
              <w:t>特别说明：关于本项目</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文件中年龄的相关表述，全部按照此例进行计算年龄，例：</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文件中要求人员为18-60岁（含60周岁），若</w:t>
            </w:r>
            <w:r>
              <w:rPr>
                <w:rFonts w:hint="eastAsia" w:ascii="宋体" w:hAnsi="宋体" w:cs="方正仿宋_GBK"/>
                <w:sz w:val="21"/>
                <w:szCs w:val="21"/>
                <w:lang w:val="en-US" w:eastAsia="zh-CN" w:bidi="ar"/>
              </w:rPr>
              <w:t>竞选人</w:t>
            </w:r>
            <w:r>
              <w:rPr>
                <w:rFonts w:hint="eastAsia" w:ascii="宋体" w:hAnsi="宋体" w:cs="方正仿宋_GBK"/>
                <w:sz w:val="21"/>
                <w:szCs w:val="21"/>
                <w:lang w:bidi="ar"/>
              </w:rPr>
              <w:t>拟派人员为60岁零9个月，则均属于60周岁范畴。</w:t>
            </w:r>
          </w:p>
          <w:p w14:paraId="3DB00C12">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b/>
                <w:sz w:val="21"/>
                <w:szCs w:val="21"/>
                <w:highlight w:val="none"/>
              </w:rPr>
              <w:t>(此为最低标准，如外委标准有调整请在此处调整)</w:t>
            </w:r>
          </w:p>
        </w:tc>
      </w:tr>
      <w:tr w14:paraId="08EC4D27">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30EE7D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C6DAEB4">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2.政治素质：遵纪守法、无违法犯罪记录。有良好的职业道德素养、尊重上级、服从安排、听从指挥；爱岗敬业，恪尽职守，文明执勤，礼貌待人。</w:t>
            </w:r>
          </w:p>
        </w:tc>
      </w:tr>
      <w:tr w14:paraId="6286A2B8">
        <w:tblPrEx>
          <w:tblCellMar>
            <w:top w:w="0" w:type="dxa"/>
            <w:left w:w="108" w:type="dxa"/>
            <w:bottom w:w="0" w:type="dxa"/>
            <w:right w:w="108" w:type="dxa"/>
          </w:tblCellMar>
        </w:tblPrEx>
        <w:trPr>
          <w:trHeight w:val="557"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AB883F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254C70D">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3.业务技能要求：</w:t>
            </w:r>
            <w:r>
              <w:rPr>
                <w:rFonts w:hint="eastAsia" w:ascii="方正仿宋_GBK" w:hAnsi="方正仿宋_GBK" w:eastAsia="方正仿宋_GBK" w:cs="方正仿宋_GBK"/>
                <w:sz w:val="21"/>
                <w:szCs w:val="21"/>
                <w:highlight w:val="none"/>
                <w:lang w:val="en-US" w:eastAsia="zh-CN"/>
              </w:rPr>
              <w:t>中控</w:t>
            </w:r>
            <w:r>
              <w:rPr>
                <w:rFonts w:hint="eastAsia" w:ascii="方正仿宋_GBK" w:hAnsi="方正仿宋_GBK" w:eastAsia="方正仿宋_GBK" w:cs="方正仿宋_GBK"/>
                <w:sz w:val="21"/>
                <w:szCs w:val="21"/>
                <w:highlight w:val="none"/>
              </w:rPr>
              <w:t>室</w:t>
            </w:r>
            <w:r>
              <w:rPr>
                <w:rFonts w:hint="eastAsia" w:ascii="方正仿宋_GBK" w:hAnsi="方正仿宋_GBK" w:eastAsia="方正仿宋_GBK" w:cs="方正仿宋_GBK"/>
                <w:sz w:val="21"/>
                <w:szCs w:val="21"/>
                <w:highlight w:val="none"/>
                <w:lang w:val="en-US" w:eastAsia="zh-CN"/>
              </w:rPr>
              <w:t>秩序人员</w:t>
            </w:r>
            <w:r>
              <w:rPr>
                <w:rFonts w:hint="eastAsia" w:ascii="方正仿宋_GBK" w:hAnsi="方正仿宋_GBK" w:eastAsia="方正仿宋_GBK" w:cs="方正仿宋_GBK"/>
                <w:sz w:val="21"/>
                <w:szCs w:val="21"/>
                <w:highlight w:val="none"/>
              </w:rPr>
              <w:t>经过急救、安防、消防相关专业知识技能培训，具备良好的处理突发事件能力，具备行业及相关岗位一定工作经验。</w:t>
            </w:r>
            <w:r>
              <w:rPr>
                <w:rFonts w:hint="eastAsia" w:ascii="方正仿宋_GBK" w:hAnsi="方正仿宋_GBK" w:eastAsia="方正仿宋_GBK" w:cs="方正仿宋_GBK"/>
                <w:sz w:val="21"/>
                <w:szCs w:val="21"/>
                <w:highlight w:val="none"/>
                <w:lang w:val="en-US" w:eastAsia="zh-CN"/>
              </w:rPr>
              <w:t>安全综合主管</w:t>
            </w:r>
            <w:r>
              <w:rPr>
                <w:rFonts w:hint="eastAsia" w:ascii="方正仿宋_GBK" w:hAnsi="方正仿宋_GBK" w:eastAsia="方正仿宋_GBK" w:cs="方正仿宋_GBK"/>
                <w:sz w:val="21"/>
                <w:szCs w:val="21"/>
                <w:highlight w:val="none"/>
              </w:rPr>
              <w:t>须具备</w:t>
            </w:r>
            <w:r>
              <w:rPr>
                <w:rFonts w:hint="eastAsia" w:ascii="方正仿宋_GBK" w:hAnsi="方正仿宋_GBK" w:eastAsia="方正仿宋_GBK" w:cs="方正仿宋_GBK"/>
                <w:sz w:val="21"/>
                <w:szCs w:val="21"/>
                <w:highlight w:val="none"/>
                <w:lang w:val="en-US" w:eastAsia="zh-CN"/>
              </w:rPr>
              <w:t>1</w:t>
            </w:r>
            <w:r>
              <w:rPr>
                <w:rFonts w:hint="eastAsia" w:ascii="方正仿宋_GBK" w:hAnsi="方正仿宋_GBK" w:eastAsia="方正仿宋_GBK" w:cs="方正仿宋_GBK"/>
                <w:sz w:val="21"/>
                <w:szCs w:val="21"/>
                <w:highlight w:val="none"/>
              </w:rPr>
              <w:t>年以上同行业工作经验，服务意识强，团队业务标杆，能培训他人、纠正他人、带动他人、引导他人、鼓舞他人。</w:t>
            </w:r>
            <w:r>
              <w:rPr>
                <w:rFonts w:hint="eastAsia" w:ascii="方正仿宋_GBK" w:hAnsi="方正仿宋_GBK" w:eastAsia="方正仿宋_GBK" w:cs="方正仿宋_GBK"/>
                <w:sz w:val="21"/>
                <w:szCs w:val="21"/>
                <w:highlight w:val="none"/>
                <w:lang w:val="en-US" w:eastAsia="zh-CN"/>
              </w:rPr>
              <w:t>管理人员</w:t>
            </w:r>
            <w:r>
              <w:rPr>
                <w:rFonts w:hint="eastAsia" w:ascii="方正仿宋_GBK" w:hAnsi="方正仿宋_GBK" w:eastAsia="方正仿宋_GBK" w:cs="方正仿宋_GBK"/>
                <w:sz w:val="21"/>
                <w:szCs w:val="21"/>
                <w:highlight w:val="none"/>
              </w:rPr>
              <w:t>须熟悉常用办公软件，有大局观、团队协作和管理能力，有使命感、有责任心，有魄力、敢担当。善于培训他人、带动他人、鼓舞他人、造就他人，善于观察、总结，有风险预判能力和独立处理应急事件的能力，不弄虚作假、不徇私舞弊，公平公正、善待员工。</w:t>
            </w:r>
          </w:p>
        </w:tc>
      </w:tr>
      <w:tr w14:paraId="01A8D68A">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664D79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3411210">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4.文化条件：</w:t>
            </w:r>
            <w:r>
              <w:rPr>
                <w:rFonts w:hint="eastAsia" w:ascii="方正仿宋_GBK" w:hAnsi="方正仿宋_GBK" w:eastAsia="方正仿宋_GBK" w:cs="方正仿宋_GBK"/>
                <w:sz w:val="21"/>
                <w:szCs w:val="21"/>
                <w:highlight w:val="none"/>
                <w:lang w:val="en-US" w:eastAsia="zh-CN"/>
              </w:rPr>
              <w:t>安全综合</w:t>
            </w:r>
            <w:r>
              <w:rPr>
                <w:rFonts w:hint="eastAsia" w:ascii="方正仿宋_GBK" w:hAnsi="方正仿宋_GBK" w:eastAsia="方正仿宋_GBK" w:cs="方正仿宋_GBK"/>
                <w:sz w:val="21"/>
                <w:szCs w:val="21"/>
                <w:highlight w:val="none"/>
              </w:rPr>
              <w:t>主管（含）及以上人员，语言表达、文字书写、沟通协调能力较好。</w:t>
            </w:r>
          </w:p>
        </w:tc>
      </w:tr>
      <w:tr w14:paraId="79336540">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560335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7344B97">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5.</w:t>
            </w:r>
            <w:r>
              <w:rPr>
                <w:rFonts w:hint="eastAsia" w:ascii="方正仿宋_GBK" w:hAnsi="方正仿宋_GBK" w:eastAsia="方正仿宋_GBK" w:cs="方正仿宋_GBK"/>
                <w:sz w:val="21"/>
                <w:szCs w:val="21"/>
                <w:highlight w:val="none"/>
                <w:lang w:eastAsia="zh-CN"/>
              </w:rPr>
              <w:t>中</w:t>
            </w:r>
            <w:r>
              <w:rPr>
                <w:rFonts w:hint="eastAsia" w:ascii="方正仿宋_GBK" w:hAnsi="方正仿宋_GBK" w:eastAsia="方正仿宋_GBK" w:cs="方正仿宋_GBK"/>
                <w:sz w:val="21"/>
                <w:szCs w:val="21"/>
                <w:highlight w:val="none"/>
                <w:lang w:val="en-US" w:eastAsia="zh-CN"/>
              </w:rPr>
              <w:t>选</w:t>
            </w:r>
            <w:r>
              <w:rPr>
                <w:rFonts w:hint="eastAsia" w:ascii="方正仿宋_GBK" w:hAnsi="方正仿宋_GBK" w:eastAsia="方正仿宋_GBK" w:cs="方正仿宋_GBK"/>
                <w:sz w:val="21"/>
                <w:szCs w:val="21"/>
                <w:highlight w:val="none"/>
                <w:lang w:eastAsia="zh-CN"/>
              </w:rPr>
              <w:t>人</w:t>
            </w:r>
            <w:r>
              <w:rPr>
                <w:rFonts w:hint="eastAsia" w:ascii="方正仿宋_GBK" w:hAnsi="方正仿宋_GBK" w:eastAsia="方正仿宋_GBK" w:cs="方正仿宋_GBK"/>
                <w:sz w:val="21"/>
                <w:szCs w:val="21"/>
                <w:highlight w:val="none"/>
              </w:rPr>
              <w:t>安排至</w:t>
            </w:r>
            <w:r>
              <w:rPr>
                <w:rFonts w:hint="eastAsia" w:ascii="方正仿宋_GBK" w:hAnsi="方正仿宋_GBK" w:eastAsia="方正仿宋_GBK" w:cs="方正仿宋_GBK"/>
                <w:sz w:val="21"/>
                <w:szCs w:val="21"/>
                <w:highlight w:val="none"/>
                <w:lang w:val="en-US" w:eastAsia="zh-CN"/>
              </w:rPr>
              <w:t>比选</w:t>
            </w:r>
            <w:r>
              <w:rPr>
                <w:rFonts w:hint="eastAsia" w:ascii="方正仿宋_GBK" w:hAnsi="方正仿宋_GBK" w:eastAsia="方正仿宋_GBK" w:cs="方正仿宋_GBK"/>
                <w:sz w:val="21"/>
                <w:szCs w:val="21"/>
                <w:highlight w:val="none"/>
                <w:lang w:eastAsia="zh-CN"/>
              </w:rPr>
              <w:t>人</w:t>
            </w:r>
            <w:r>
              <w:rPr>
                <w:rFonts w:hint="eastAsia" w:ascii="方正仿宋_GBK" w:hAnsi="方正仿宋_GBK" w:eastAsia="方正仿宋_GBK" w:cs="方正仿宋_GBK"/>
                <w:sz w:val="21"/>
                <w:szCs w:val="21"/>
                <w:highlight w:val="none"/>
              </w:rPr>
              <w:t>现场服务人员至少50%在</w:t>
            </w:r>
            <w:r>
              <w:rPr>
                <w:rFonts w:hint="eastAsia" w:ascii="方正仿宋_GBK" w:hAnsi="方正仿宋_GBK" w:eastAsia="方正仿宋_GBK" w:cs="方正仿宋_GBK"/>
                <w:sz w:val="21"/>
                <w:szCs w:val="21"/>
                <w:highlight w:val="none"/>
                <w:lang w:eastAsia="zh-CN"/>
              </w:rPr>
              <w:t>中</w:t>
            </w:r>
            <w:r>
              <w:rPr>
                <w:rFonts w:hint="eastAsia" w:ascii="方正仿宋_GBK" w:hAnsi="方正仿宋_GBK" w:eastAsia="方正仿宋_GBK" w:cs="方正仿宋_GBK"/>
                <w:sz w:val="21"/>
                <w:szCs w:val="21"/>
                <w:highlight w:val="none"/>
                <w:lang w:val="en-US" w:eastAsia="zh-CN"/>
              </w:rPr>
              <w:t>选</w:t>
            </w:r>
            <w:r>
              <w:rPr>
                <w:rFonts w:hint="eastAsia" w:ascii="方正仿宋_GBK" w:hAnsi="方正仿宋_GBK" w:eastAsia="方正仿宋_GBK" w:cs="方正仿宋_GBK"/>
                <w:sz w:val="21"/>
                <w:szCs w:val="21"/>
                <w:highlight w:val="none"/>
                <w:lang w:eastAsia="zh-CN"/>
              </w:rPr>
              <w:t>人</w:t>
            </w:r>
            <w:r>
              <w:rPr>
                <w:rFonts w:hint="eastAsia" w:ascii="方正仿宋_GBK" w:hAnsi="方正仿宋_GBK" w:eastAsia="方正仿宋_GBK" w:cs="方正仿宋_GBK"/>
                <w:sz w:val="21"/>
                <w:szCs w:val="21"/>
                <w:highlight w:val="none"/>
              </w:rPr>
              <w:t>连续司龄6个月以上，女员工比例不超过团队总人数的30%。</w:t>
            </w:r>
          </w:p>
        </w:tc>
      </w:tr>
      <w:tr w14:paraId="763988D9">
        <w:tblPrEx>
          <w:tblCellMar>
            <w:top w:w="0" w:type="dxa"/>
            <w:left w:w="108" w:type="dxa"/>
            <w:bottom w:w="0" w:type="dxa"/>
            <w:right w:w="108" w:type="dxa"/>
          </w:tblCellMar>
        </w:tblPrEx>
        <w:trPr>
          <w:trHeight w:val="2565" w:hRule="atLeast"/>
        </w:trPr>
        <w:tc>
          <w:tcPr>
            <w:tcW w:w="1966" w:type="dxa"/>
            <w:vMerge w:val="restart"/>
            <w:tcBorders>
              <w:top w:val="nil"/>
              <w:left w:val="single" w:color="auto" w:sz="4" w:space="0"/>
              <w:bottom w:val="single" w:color="auto" w:sz="4" w:space="0"/>
              <w:right w:val="single" w:color="auto" w:sz="4" w:space="0"/>
            </w:tcBorders>
            <w:noWrap/>
            <w:vAlign w:val="center"/>
          </w:tcPr>
          <w:p w14:paraId="70F5CB8D">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岗位主要职责要求</w:t>
            </w:r>
          </w:p>
        </w:tc>
        <w:tc>
          <w:tcPr>
            <w:tcW w:w="7957" w:type="dxa"/>
            <w:tcBorders>
              <w:top w:val="nil"/>
              <w:left w:val="nil"/>
              <w:bottom w:val="single" w:color="auto" w:sz="4" w:space="0"/>
              <w:right w:val="single" w:color="auto" w:sz="4" w:space="0"/>
            </w:tcBorders>
            <w:noWrap w:val="0"/>
            <w:vAlign w:val="bottom"/>
          </w:tcPr>
          <w:p w14:paraId="3574A9A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1.岗位基本职责要求：</w:t>
            </w:r>
          </w:p>
          <w:p w14:paraId="46349CD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在排定的班次和岗位按要求当值，处理一切当值岗位发生的事件及报告上级，保障当值所在地人员及财产的安全。</w:t>
            </w:r>
          </w:p>
          <w:p w14:paraId="2A9B433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禁止未核实清楚的人士进入服务区域，并做到礼貌周到、不卑不亢。</w:t>
            </w:r>
          </w:p>
          <w:p w14:paraId="05427A1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发现安全隐患或紧急情况时，及时提醒、制止、防范、报告上级，以及保护现场。</w:t>
            </w:r>
          </w:p>
          <w:p w14:paraId="6001BC9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积极参与岗位知识学习，努力提高工作素养。</w:t>
            </w:r>
          </w:p>
          <w:p w14:paraId="64A0AB7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如遇重大活动或重大事故、险情，需要时所属员工应延时工作。特殊情况下，休息员工应无条件接受</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要求加班，直至任务圆满完成。</w:t>
            </w:r>
          </w:p>
        </w:tc>
      </w:tr>
      <w:tr w14:paraId="01D9BA0E">
        <w:tblPrEx>
          <w:tblCellMar>
            <w:top w:w="0" w:type="dxa"/>
            <w:left w:w="108" w:type="dxa"/>
            <w:bottom w:w="0" w:type="dxa"/>
            <w:right w:w="108" w:type="dxa"/>
          </w:tblCellMar>
        </w:tblPrEx>
        <w:trPr>
          <w:trHeight w:val="285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9BD184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5CD6B2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2.出入口（含收费）岗位职责要求：</w:t>
            </w:r>
          </w:p>
          <w:p w14:paraId="4662644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负责出入口及邻近周边区域的安全巡防、人员及交通秩序维护、进出人员及物资盘查与登记、咨询接待等管理服务，并做好记录与特殊情况报告；</w:t>
            </w:r>
          </w:p>
          <w:p w14:paraId="175CAA0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负责进出车辆的盘查登记及按招标方规定及流程要求进行临时车辆的收费管理工作；</w:t>
            </w:r>
          </w:p>
          <w:p w14:paraId="6970C14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负责出入口及周边区域的各类突发、紧急情况处置，并及时跟进处理与报告；</w:t>
            </w:r>
          </w:p>
          <w:p w14:paraId="38C3666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负责出入口及周边区域整体环境维护，禁止摆摊设点（经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同意许可除外），维护现场清洁卫生；</w:t>
            </w:r>
          </w:p>
          <w:p w14:paraId="2199E79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负责与各巡逻岗、监控岗及其它门岗互通信息，形成联防。</w:t>
            </w:r>
          </w:p>
          <w:p w14:paraId="101F374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安排的其他工作事务。</w:t>
            </w:r>
          </w:p>
        </w:tc>
      </w:tr>
      <w:tr w14:paraId="3D1C9EEB">
        <w:tblPrEx>
          <w:tblCellMar>
            <w:top w:w="0" w:type="dxa"/>
            <w:left w:w="108" w:type="dxa"/>
            <w:bottom w:w="0" w:type="dxa"/>
            <w:right w:w="108" w:type="dxa"/>
          </w:tblCellMar>
        </w:tblPrEx>
        <w:trPr>
          <w:trHeight w:val="197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B5F0B9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594E65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3.巡逻岗位职责要求：</w:t>
            </w:r>
          </w:p>
          <w:p w14:paraId="1FAB3C6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负责按照规定巡逻路线及频次开展巡逻，及时发现服务区域内存在的各类问题、隐患，做好跟进处理及记录上报；</w:t>
            </w:r>
          </w:p>
          <w:p w14:paraId="0B74A61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负责维护服务区域内公共秩序和交通秩序，及时制止破坏偷盗财物、损害业主人身财产安全利益等行为；</w:t>
            </w:r>
          </w:p>
          <w:p w14:paraId="0141476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负责服务区域内各类报警核查、紧急求助以及各类突发事件的处置及报告；</w:t>
            </w:r>
          </w:p>
          <w:p w14:paraId="7BEA1D6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负责服务区域内的装修、空置房巡查以及各类消防设施器材的巡查维护；</w:t>
            </w:r>
          </w:p>
          <w:p w14:paraId="3FF143A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负责为服务区域内客户提供经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同意许可的其他临时服务。</w:t>
            </w:r>
          </w:p>
          <w:p w14:paraId="27ECE90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安排的其他工作事务。</w:t>
            </w:r>
          </w:p>
        </w:tc>
      </w:tr>
      <w:tr w14:paraId="1EA46080">
        <w:tblPrEx>
          <w:tblCellMar>
            <w:top w:w="0" w:type="dxa"/>
            <w:left w:w="108" w:type="dxa"/>
            <w:bottom w:w="0" w:type="dxa"/>
            <w:right w:w="108" w:type="dxa"/>
          </w:tblCellMar>
        </w:tblPrEx>
        <w:trPr>
          <w:trHeight w:val="83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525D970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8104E1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4.中控室岗位职责要求：</w:t>
            </w:r>
          </w:p>
          <w:p w14:paraId="0F68001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负责中控室内务整理，保证内部环境卫生及物品摆放整洁有序；</w:t>
            </w:r>
          </w:p>
          <w:p w14:paraId="3715BA0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负责服务区域内各重点部位的实时监控；</w:t>
            </w:r>
          </w:p>
          <w:p w14:paraId="5DF6949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负责对各类系统警报的人员核警通知和跟进处置；</w:t>
            </w:r>
          </w:p>
          <w:p w14:paraId="0D55C70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负责各类报警、紧急求救、客户报事等电话的接听、记录，并跟进处理；</w:t>
            </w:r>
          </w:p>
          <w:p w14:paraId="3982B49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负责中控室各类设备运行、故障、异常情况的发现、上报和跟进处理，做好设备的日常管理，配合维保单位对设备的调试维护，确保设备和系统正常运行；</w:t>
            </w:r>
          </w:p>
          <w:p w14:paraId="03E8006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负责视频、消防等数据按规定进行调取、保存、查找；</w:t>
            </w:r>
          </w:p>
          <w:p w14:paraId="214708D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负责按规定做好各类记录并归档，以及负责</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安排的其他工作事务。</w:t>
            </w:r>
          </w:p>
        </w:tc>
      </w:tr>
      <w:tr w14:paraId="6E039246">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auto" w:sz="4" w:space="0"/>
              <w:right w:val="single" w:color="auto" w:sz="4" w:space="0"/>
            </w:tcBorders>
            <w:noWrap/>
            <w:vAlign w:val="center"/>
          </w:tcPr>
          <w:p w14:paraId="62FC784A">
            <w:pPr>
              <w:spacing w:line="240" w:lineRule="auto"/>
              <w:ind w:firstLine="0" w:firstLineChars="0"/>
              <w:jc w:val="center"/>
              <w:rPr>
                <w:rFonts w:hint="eastAsia" w:ascii="方正仿宋_GBK" w:hAnsi="方正仿宋_GBK" w:eastAsia="方正仿宋_GBK" w:cs="方正仿宋_GBK"/>
                <w:sz w:val="21"/>
                <w:szCs w:val="21"/>
              </w:rPr>
            </w:pPr>
          </w:p>
          <w:p w14:paraId="0681666D">
            <w:pPr>
              <w:spacing w:line="240" w:lineRule="auto"/>
              <w:ind w:firstLine="0" w:firstLineChars="0"/>
              <w:jc w:val="center"/>
              <w:rPr>
                <w:rFonts w:hint="eastAsia" w:ascii="方正仿宋_GBK" w:hAnsi="方正仿宋_GBK" w:eastAsia="方正仿宋_GBK" w:cs="方正仿宋_GBK"/>
                <w:sz w:val="21"/>
                <w:szCs w:val="21"/>
              </w:rPr>
            </w:pPr>
          </w:p>
          <w:p w14:paraId="43F21440">
            <w:pPr>
              <w:spacing w:line="240" w:lineRule="auto"/>
              <w:ind w:firstLine="0" w:firstLineChars="0"/>
              <w:jc w:val="center"/>
              <w:rPr>
                <w:rFonts w:hint="eastAsia" w:ascii="方正仿宋_GBK" w:hAnsi="方正仿宋_GBK" w:eastAsia="方正仿宋_GBK" w:cs="方正仿宋_GBK"/>
                <w:sz w:val="21"/>
                <w:szCs w:val="21"/>
              </w:rPr>
            </w:pPr>
          </w:p>
          <w:p w14:paraId="1B94C67A">
            <w:pPr>
              <w:spacing w:line="240" w:lineRule="auto"/>
              <w:ind w:firstLine="0" w:firstLineChars="0"/>
              <w:jc w:val="center"/>
              <w:rPr>
                <w:rFonts w:hint="eastAsia" w:ascii="方正仿宋_GBK" w:hAnsi="方正仿宋_GBK" w:eastAsia="方正仿宋_GBK" w:cs="方正仿宋_GBK"/>
                <w:sz w:val="21"/>
                <w:szCs w:val="21"/>
              </w:rPr>
            </w:pPr>
          </w:p>
          <w:p w14:paraId="2D414495">
            <w:pPr>
              <w:spacing w:line="240" w:lineRule="auto"/>
              <w:ind w:firstLine="0" w:firstLineChars="0"/>
              <w:jc w:val="center"/>
              <w:rPr>
                <w:rFonts w:hint="eastAsia" w:ascii="方正仿宋_GBK" w:hAnsi="方正仿宋_GBK" w:eastAsia="方正仿宋_GBK" w:cs="方正仿宋_GBK"/>
                <w:sz w:val="21"/>
                <w:szCs w:val="21"/>
              </w:rPr>
            </w:pPr>
          </w:p>
          <w:p w14:paraId="76BB335B">
            <w:pPr>
              <w:spacing w:line="240" w:lineRule="auto"/>
              <w:ind w:firstLine="0" w:firstLineChars="0"/>
              <w:jc w:val="center"/>
              <w:rPr>
                <w:rFonts w:hint="eastAsia" w:ascii="方正仿宋_GBK" w:hAnsi="方正仿宋_GBK" w:eastAsia="方正仿宋_GBK" w:cs="方正仿宋_GBK"/>
                <w:sz w:val="21"/>
                <w:szCs w:val="21"/>
              </w:rPr>
            </w:pPr>
          </w:p>
          <w:p w14:paraId="48BBCD95">
            <w:pPr>
              <w:spacing w:line="240" w:lineRule="auto"/>
              <w:ind w:firstLine="0" w:firstLineChars="0"/>
              <w:jc w:val="center"/>
              <w:rPr>
                <w:rFonts w:hint="eastAsia" w:ascii="方正仿宋_GBK" w:hAnsi="方正仿宋_GBK" w:eastAsia="方正仿宋_GBK" w:cs="方正仿宋_GBK"/>
                <w:sz w:val="21"/>
                <w:szCs w:val="21"/>
              </w:rPr>
            </w:pPr>
          </w:p>
          <w:p w14:paraId="7E357D3F">
            <w:pPr>
              <w:spacing w:line="240" w:lineRule="auto"/>
              <w:ind w:firstLine="0" w:firstLineChars="0"/>
              <w:jc w:val="center"/>
              <w:rPr>
                <w:rFonts w:hint="eastAsia" w:ascii="方正仿宋_GBK" w:hAnsi="方正仿宋_GBK" w:eastAsia="方正仿宋_GBK" w:cs="方正仿宋_GBK"/>
                <w:sz w:val="21"/>
                <w:szCs w:val="21"/>
              </w:rPr>
            </w:pPr>
          </w:p>
          <w:p w14:paraId="7A166F4A">
            <w:pPr>
              <w:spacing w:line="240" w:lineRule="auto"/>
              <w:ind w:firstLine="0" w:firstLineChars="0"/>
              <w:jc w:val="center"/>
              <w:rPr>
                <w:rFonts w:hint="eastAsia" w:ascii="方正仿宋_GBK" w:hAnsi="方正仿宋_GBK" w:eastAsia="方正仿宋_GBK" w:cs="方正仿宋_GBK"/>
                <w:sz w:val="21"/>
                <w:szCs w:val="21"/>
              </w:rPr>
            </w:pPr>
          </w:p>
          <w:p w14:paraId="1B3B04F0">
            <w:pPr>
              <w:spacing w:line="240" w:lineRule="auto"/>
              <w:ind w:firstLine="0" w:firstLineChars="0"/>
              <w:jc w:val="center"/>
              <w:rPr>
                <w:rFonts w:hint="eastAsia" w:ascii="方正仿宋_GBK" w:hAnsi="方正仿宋_GBK" w:eastAsia="方正仿宋_GBK" w:cs="方正仿宋_GBK"/>
                <w:sz w:val="21"/>
                <w:szCs w:val="21"/>
              </w:rPr>
            </w:pPr>
          </w:p>
          <w:p w14:paraId="2463C93B">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岗位主要工作内容</w:t>
            </w:r>
          </w:p>
        </w:tc>
        <w:tc>
          <w:tcPr>
            <w:tcW w:w="7957" w:type="dxa"/>
            <w:tcBorders>
              <w:top w:val="nil"/>
              <w:left w:val="nil"/>
              <w:bottom w:val="single" w:color="auto" w:sz="4" w:space="0"/>
              <w:right w:val="single" w:color="auto" w:sz="4" w:space="0"/>
            </w:tcBorders>
            <w:noWrap w:val="0"/>
            <w:vAlign w:val="bottom"/>
          </w:tcPr>
          <w:p w14:paraId="4172F13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1.检查发现服务区域一切不安全因素，包括防火、防盗及其他安全隐患，发现问题马上报告。</w:t>
            </w:r>
          </w:p>
        </w:tc>
      </w:tr>
      <w:tr w14:paraId="2EA7EAD5">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5E83C6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4D6719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2.巡逻岗应根据招标方指定路线进行巡查，每巡查一周后应固定在指定位置待命，如无突发状况不得擅自离开，直至下次巡查开始，巡查频次应满足</w:t>
            </w:r>
            <w:r>
              <w:rPr>
                <w:rFonts w:hint="eastAsia" w:ascii="方正仿宋_GBK" w:hAnsi="方正仿宋_GBK" w:eastAsia="方正仿宋_GBK" w:cs="方正仿宋_GBK"/>
                <w:sz w:val="21"/>
                <w:szCs w:val="21"/>
                <w:lang w:val="en-US" w:eastAsia="zh-CN"/>
              </w:rPr>
              <w:t>比选人</w:t>
            </w:r>
            <w:r>
              <w:rPr>
                <w:rFonts w:hint="eastAsia" w:ascii="方正仿宋_GBK" w:hAnsi="方正仿宋_GBK" w:eastAsia="方正仿宋_GBK" w:cs="方正仿宋_GBK"/>
                <w:sz w:val="21"/>
                <w:szCs w:val="21"/>
              </w:rPr>
              <w:t>要求，发现问题记录并及时上报。</w:t>
            </w:r>
          </w:p>
        </w:tc>
      </w:tr>
      <w:tr w14:paraId="14703AC7">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C9A499B">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65E898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3.巡查消防设施是否在位、完好有效，有无遮挡、挪用，消防卷帘下方是否有摆放物品；消防通道有无被占用、堵塞或违规使用现象。</w:t>
            </w:r>
          </w:p>
        </w:tc>
      </w:tr>
      <w:tr w14:paraId="379A1171">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BB8ED6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4EF8A3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4.巡查公区照明、公区摆设等是否完好、摆放适当；各种标识有无损坏、丢失；巡视项目内外绿化植物有无明显的倾倒、倾斜等隐患现象，是否有垃圾杂物。</w:t>
            </w:r>
          </w:p>
        </w:tc>
      </w:tr>
      <w:tr w14:paraId="38FA2012">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552352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57A573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5.提醒并制止小孩在公区追逐玩耍、高空抛物等有安全隐患的行为；</w:t>
            </w:r>
          </w:p>
        </w:tc>
      </w:tr>
      <w:tr w14:paraId="7C0BA60A">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43E4611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DC7A70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6.停车场管理员要主动指挥和疏导进出车辆，热情服务，主动检查车辆的安全停放，检查车辆是否关窗锁车，检查车场其他失窃、失火等安全隐患。</w:t>
            </w:r>
          </w:p>
        </w:tc>
      </w:tr>
      <w:tr w14:paraId="25EC80EF">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DF6EDF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BA2397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7.定期配合</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及其他相关部门进行消防演习，掌握“消防常识”要求，对消防安全隐患、违章违规行为进行报告和处理。</w:t>
            </w:r>
          </w:p>
        </w:tc>
      </w:tr>
      <w:tr w14:paraId="5AF03682">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5BCA92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9F9A3D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8.检查重点防火部位，检查消防设施设备是否在位、完好、有效。</w:t>
            </w:r>
          </w:p>
        </w:tc>
      </w:tr>
      <w:tr w14:paraId="48779CE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792182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0EE021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9.检查业主入户门是否完好且上锁。</w:t>
            </w:r>
          </w:p>
        </w:tc>
      </w:tr>
      <w:tr w14:paraId="03443F4F">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24AFD67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825B24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10.针对装修房，把好动火安全，特别注意动火人员证件是否备齐，监护人员是否在位，现场是否备有足够灭火器材，禁止在装修现场吸烟，动火手续是否有效。</w:t>
            </w:r>
          </w:p>
        </w:tc>
      </w:tr>
      <w:tr w14:paraId="097CFF5E">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6BFE7D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4E1793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11.禁止外来推销、销售人员、精神病患者、乞丐等进入服务区域，熟悉业主和租户人员情况，有效判断进出人员状况。</w:t>
            </w:r>
          </w:p>
        </w:tc>
      </w:tr>
      <w:tr w14:paraId="61087960">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C6EA80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99D659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12.巡逻应遵循“一摸、二闻、三看、四观察”的宗旨，如发现异常情况，立即上报。</w:t>
            </w:r>
          </w:p>
        </w:tc>
      </w:tr>
      <w:tr w14:paraId="636DDBE5">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1FA0A8B">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2EEED7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13.检查各配电房、电梯机房、泵房、油库设施、空调机房、水电井的门是否保持常闭，上锁。禁止无关人员入内。</w:t>
            </w:r>
          </w:p>
        </w:tc>
      </w:tr>
      <w:tr w14:paraId="4ADC3150">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8B01A6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D6CD3B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14.熟悉所有燃气应急阀门、电力总闸、各种手动消防设备和其他所有紧急开关的位置和使用功能，并铭记在心。仔细查看，消除隐患。</w:t>
            </w:r>
          </w:p>
        </w:tc>
      </w:tr>
      <w:tr w14:paraId="70564420">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F24FDF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AA793C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15.所有人员、物品及车辆出入必须严格按招标方相关规定执行。</w:t>
            </w:r>
          </w:p>
        </w:tc>
      </w:tr>
      <w:tr w14:paraId="4352D1D1">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74140F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354527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16.维护交通秩序，指挥和疏导进出车辆、非机动车和行人。</w:t>
            </w:r>
          </w:p>
        </w:tc>
      </w:tr>
      <w:tr w14:paraId="108D1FF2">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2E19A4D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F10BCF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17.熟悉项目消防应急预案，遇突发事件及火灾，应在第一时间上报招标方，且迅速组织安保、消防、医疗人员进行疏散、抢救，将事故控制在萌芽状态。</w:t>
            </w:r>
          </w:p>
        </w:tc>
      </w:tr>
      <w:tr w14:paraId="1950D9F0">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5F5ACC3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9229C7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18.配合工程人员对监控设施的检查维修。</w:t>
            </w:r>
          </w:p>
        </w:tc>
      </w:tr>
      <w:tr w14:paraId="5029A3E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3E16F2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309073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19.管理好消防中控室的值班管理工作。</w:t>
            </w:r>
          </w:p>
        </w:tc>
      </w:tr>
      <w:tr w14:paraId="384D47CC">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241954F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487806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20.一旦发现盗窃破坏行为，立即围捕/报告/追查。</w:t>
            </w:r>
          </w:p>
        </w:tc>
      </w:tr>
      <w:tr w14:paraId="1BD08F23">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BA1D13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0F411F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21.不得擅入业主、租赁户及商铺户内（安全检查例外）。如在夜间发现门未锁现象或紧急情况，应由安全综合主管陪同且2人以上进入检查，同时书面报告给上级及业主。</w:t>
            </w:r>
          </w:p>
        </w:tc>
      </w:tr>
      <w:tr w14:paraId="3A81266A">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32C6AE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79A735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22.建立岗位工作日志，作好记录，根据情况做书面报告。</w:t>
            </w:r>
          </w:p>
        </w:tc>
      </w:tr>
      <w:tr w14:paraId="146A3B0E">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859189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61C3AA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23.对工作的讲评，会议纪要应逐级上报，并抄送</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w:t>
            </w:r>
          </w:p>
        </w:tc>
      </w:tr>
      <w:tr w14:paraId="1BD98876">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446EF4C7">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岗位纪律要求</w:t>
            </w:r>
          </w:p>
        </w:tc>
        <w:tc>
          <w:tcPr>
            <w:tcW w:w="7957" w:type="dxa"/>
            <w:tcBorders>
              <w:top w:val="nil"/>
              <w:left w:val="nil"/>
              <w:bottom w:val="single" w:color="auto" w:sz="4" w:space="0"/>
              <w:right w:val="single" w:color="auto" w:sz="4" w:space="0"/>
            </w:tcBorders>
            <w:noWrap w:val="0"/>
            <w:vAlign w:val="bottom"/>
          </w:tcPr>
          <w:p w14:paraId="0A37C83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1.员工上下班必须在指定地方打卡签到，不准迟到、早退、旷工。</w:t>
            </w:r>
          </w:p>
        </w:tc>
      </w:tr>
      <w:tr w14:paraId="6E66949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C35480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3A13A7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2.员工上下班必须由指定路线进出服务区域（紧急情况除外）。</w:t>
            </w:r>
          </w:p>
        </w:tc>
      </w:tr>
      <w:tr w14:paraId="175B632E">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6C02DC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D56155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3.当值时必须穿着制服，正确佩戴铭牌和证件。</w:t>
            </w:r>
          </w:p>
        </w:tc>
      </w:tr>
      <w:tr w14:paraId="7E196A33">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C0D0AF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F4FA03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4.在岗时，要礼貌待人，微笑服务，不卑不亢。</w:t>
            </w:r>
          </w:p>
        </w:tc>
      </w:tr>
      <w:tr w14:paraId="2BC5741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BB96D6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D00CAB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5.当值期间不得擅离职守，需要暂时离开岗位时要报告班长，并且有替岗人员到位后方可离开。</w:t>
            </w:r>
          </w:p>
        </w:tc>
      </w:tr>
      <w:tr w14:paraId="5036D0A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4B7F84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FAA311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6.不得当值时在岗位上闲聊、抽烟、打盹、睡觉、赌博或玩手机等。</w:t>
            </w:r>
          </w:p>
        </w:tc>
      </w:tr>
      <w:tr w14:paraId="6D212017">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3D87A89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4A024D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7.下班后不得着制服在园区内外逗留、闲逛、嬉戏。</w:t>
            </w:r>
          </w:p>
        </w:tc>
      </w:tr>
      <w:tr w14:paraId="4748CBC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3617B7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4F6C95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8.当值前或当值时不得饮用含酒精类的饮品，避免吃葱、蒜、韭菜等令人不愉快的刺激气味的食品。</w:t>
            </w:r>
          </w:p>
        </w:tc>
      </w:tr>
      <w:tr w14:paraId="768EC901">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76C6D9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A5D82F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9.秩序队员在岗上除了对讲机、巡更棒等标准装备外，不能携带与值班无关的东西，包括手机、书籍、饮料瓶、食品等。</w:t>
            </w:r>
          </w:p>
        </w:tc>
      </w:tr>
      <w:tr w14:paraId="3BE2947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2CAC6C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EC355B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10.言语谨慎，岗位上不得嘲弄、取笑或者激怒他人，不得擅自向外人泄露商业机密。</w:t>
            </w:r>
          </w:p>
        </w:tc>
      </w:tr>
      <w:tr w14:paraId="6C795072">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B0A1F0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FE98F3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11.在任何情况下严禁与业主、客人、租户发生争执。</w:t>
            </w:r>
          </w:p>
        </w:tc>
      </w:tr>
      <w:tr w14:paraId="18F3F79D">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FAB5AA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160AEB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12.严禁向租户、客户以各种形式勒索财物。</w:t>
            </w:r>
          </w:p>
        </w:tc>
      </w:tr>
      <w:tr w14:paraId="57F5F5BF">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80731BB">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FEE914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13.发现业主及客户遗落物品应即时上交，不得藏匿。</w:t>
            </w:r>
          </w:p>
        </w:tc>
      </w:tr>
      <w:tr w14:paraId="0234042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12263A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344074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14.秩序队员如犯有任何罪案，立即交警方处理，如违反规章制度，则应接受处分、警告、直到除名。</w:t>
            </w:r>
          </w:p>
        </w:tc>
      </w:tr>
      <w:tr w14:paraId="3EB7DD81">
        <w:tblPrEx>
          <w:tblCellMar>
            <w:top w:w="0" w:type="dxa"/>
            <w:left w:w="108" w:type="dxa"/>
            <w:bottom w:w="0" w:type="dxa"/>
            <w:right w:w="108" w:type="dxa"/>
          </w:tblCellMar>
        </w:tblPrEx>
        <w:trPr>
          <w:trHeight w:val="142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D0D64B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A462C7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15.上岗之前必须提前15分钟列队召开班前会。下岗后，必须列队召开班后会。由安全综合主管总结一天的工作，提出批评和表扬以及跟进事宜。中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rPr>
              <w:t>单位公司人员或</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必须不定期、不定时进行夜间抽查，夜查次数每月不少于2次，并制作书面检查记录，将检查状况逐级上报并抄送</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现场秩序负责人。中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rPr>
              <w:t>单位公司人员每月不低于一次对项目现场进行品质巡查，并制作书面检查记录，将检查状况逐级上报并抄送</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现场秩序负责人。</w:t>
            </w:r>
          </w:p>
        </w:tc>
      </w:tr>
      <w:tr w14:paraId="7C37E03D">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9EDD0D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3E14BD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16.员工必须保持良好形象，微笑服务。如被发现有不合标准之处，</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有权责令其改正，并进行相应扣分,汇入月度付款报告中进行相应扣款处理。</w:t>
            </w:r>
          </w:p>
        </w:tc>
      </w:tr>
      <w:tr w14:paraId="55968DB1">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A18DAB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3E85CB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安全综合主管应参加</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在该服务项目的晨会。</w:t>
            </w:r>
          </w:p>
        </w:tc>
      </w:tr>
      <w:tr w14:paraId="31DB28D5">
        <w:tblPrEx>
          <w:tblCellMar>
            <w:top w:w="0" w:type="dxa"/>
            <w:left w:w="108" w:type="dxa"/>
            <w:bottom w:w="0" w:type="dxa"/>
            <w:right w:w="108" w:type="dxa"/>
          </w:tblCellMar>
        </w:tblPrEx>
        <w:trPr>
          <w:trHeight w:val="570" w:hRule="atLeast"/>
        </w:trPr>
        <w:tc>
          <w:tcPr>
            <w:tcW w:w="1966" w:type="dxa"/>
            <w:tcBorders>
              <w:top w:val="nil"/>
              <w:left w:val="single" w:color="auto" w:sz="4" w:space="0"/>
              <w:bottom w:val="single" w:color="auto" w:sz="4" w:space="0"/>
              <w:right w:val="single" w:color="auto" w:sz="4" w:space="0"/>
            </w:tcBorders>
            <w:noWrap/>
            <w:vAlign w:val="center"/>
          </w:tcPr>
          <w:p w14:paraId="4F53582D">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权力范围</w:t>
            </w:r>
          </w:p>
        </w:tc>
        <w:tc>
          <w:tcPr>
            <w:tcW w:w="7957" w:type="dxa"/>
            <w:tcBorders>
              <w:top w:val="nil"/>
              <w:left w:val="nil"/>
              <w:bottom w:val="single" w:color="auto" w:sz="4" w:space="0"/>
              <w:right w:val="single" w:color="auto" w:sz="4" w:space="0"/>
            </w:tcBorders>
            <w:noWrap w:val="0"/>
            <w:vAlign w:val="bottom"/>
          </w:tcPr>
          <w:p w14:paraId="2ACF6E8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所有秩序队员无权强制搜身，无权扣留任何人，如有紧急情况应从速报告或报警，保护现场并禁止闲杂人员进入。</w:t>
            </w:r>
          </w:p>
        </w:tc>
      </w:tr>
      <w:tr w14:paraId="4D0A2057">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467A0515">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仪容仪表要求</w:t>
            </w:r>
          </w:p>
        </w:tc>
        <w:tc>
          <w:tcPr>
            <w:tcW w:w="7957" w:type="dxa"/>
            <w:tcBorders>
              <w:top w:val="nil"/>
              <w:left w:val="nil"/>
              <w:bottom w:val="single" w:color="auto" w:sz="4" w:space="0"/>
              <w:right w:val="single" w:color="auto" w:sz="4" w:space="0"/>
            </w:tcBorders>
            <w:noWrap w:val="0"/>
            <w:vAlign w:val="bottom"/>
          </w:tcPr>
          <w:p w14:paraId="55A89BF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1.在班前例会上班长应检查每位所属员工的仪表仪容，确保所有员工仪容仪表符合标准。</w:t>
            </w:r>
          </w:p>
        </w:tc>
      </w:tr>
      <w:tr w14:paraId="38A2885C">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8F07F7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F618AE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2.上岗期间必须按规定穿着制服（服装、领带、帽子、黑皮鞋、深色袜子）整齐划一，铭牌/工作证应佩带在指定位置，皮鞋统一黑色，鞋面保持光亮，无污垢、污渍。非特殊工作需要，不得将衣袖、裤脚卷起。</w:t>
            </w:r>
          </w:p>
        </w:tc>
      </w:tr>
      <w:tr w14:paraId="69CB54F1">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446163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9487FD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3.衬衣袖口、领口清洁无破损，熨烫平整，衬衫下摆扎进裤子中。</w:t>
            </w:r>
          </w:p>
        </w:tc>
      </w:tr>
      <w:tr w14:paraId="217B5D05">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DF2259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AB54EA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4.如系领带，衬衫领口扣要系上，领带结整齐利落，领带下尖端不超过皮带扣。</w:t>
            </w:r>
          </w:p>
        </w:tc>
      </w:tr>
      <w:tr w14:paraId="40B39BE5">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A97ECB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BEDD5F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5.面部干净清爽，不留胡须，鼻毛不外漏。</w:t>
            </w:r>
          </w:p>
        </w:tc>
      </w:tr>
      <w:tr w14:paraId="179D445E">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D73461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65471E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头发干净整齐，不油腻，不能彩色染发。男员工保持仪容仪表整洁大方；头发前不过眉，侧不过耳，后不过劲，不得留光头；不得留胡须；双手保持清洁，不留长指甲，不涂有色指甲，不戴手饰。女员工刘海长度不超过眉毛，两边头发梳理整齐用黑色发卡别住，后面用统一发套。保持仪容仪表整洁大方；头发梳剪整齐，不作怪异发型，不染怪异颜色，不披头散发；保持双手清洁，不留长指甲，不涂有色指甲，不戴夸张手饰。</w:t>
            </w:r>
          </w:p>
        </w:tc>
      </w:tr>
      <w:tr w14:paraId="6FCFDCF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781F5F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EADFE8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7.不带耳环、耳坠、手链等，不涂指甲油，指甲长度不超过指尖。</w:t>
            </w:r>
          </w:p>
        </w:tc>
      </w:tr>
      <w:tr w14:paraId="4D9A8F3C">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8F8006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EA9F4B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8.站姿保持两腿与双肩同宽，两手自然下垂，或立正、或跨立、或双手相握放于腹部，收腹、挺胸，不得大稍息。</w:t>
            </w:r>
          </w:p>
        </w:tc>
      </w:tr>
      <w:tr w14:paraId="3282F74E">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7E79EC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D084CF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9.精神面貌：行走有力，挺拔，精神饱满，目视前方，富有朝气。</w:t>
            </w:r>
          </w:p>
        </w:tc>
      </w:tr>
      <w:tr w14:paraId="7D72D134">
        <w:tblPrEx>
          <w:tblCellMar>
            <w:top w:w="0" w:type="dxa"/>
            <w:left w:w="108" w:type="dxa"/>
            <w:bottom w:w="0" w:type="dxa"/>
            <w:right w:w="108" w:type="dxa"/>
          </w:tblCellMar>
        </w:tblPrEx>
        <w:trPr>
          <w:trHeight w:val="570" w:hRule="atLeast"/>
        </w:trPr>
        <w:tc>
          <w:tcPr>
            <w:tcW w:w="1966" w:type="dxa"/>
            <w:vMerge w:val="restart"/>
            <w:tcBorders>
              <w:top w:val="nil"/>
              <w:left w:val="single" w:color="auto" w:sz="4" w:space="0"/>
              <w:right w:val="single" w:color="auto" w:sz="4" w:space="0"/>
            </w:tcBorders>
            <w:noWrap w:val="0"/>
            <w:vAlign w:val="center"/>
          </w:tcPr>
          <w:p w14:paraId="5D4DE8F5">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服装/装备要求</w:t>
            </w:r>
          </w:p>
        </w:tc>
        <w:tc>
          <w:tcPr>
            <w:tcW w:w="7957" w:type="dxa"/>
            <w:tcBorders>
              <w:top w:val="nil"/>
              <w:left w:val="nil"/>
              <w:bottom w:val="single" w:color="auto" w:sz="4" w:space="0"/>
              <w:right w:val="single" w:color="auto" w:sz="4" w:space="0"/>
            </w:tcBorders>
            <w:noWrap w:val="0"/>
            <w:vAlign w:val="bottom"/>
          </w:tcPr>
          <w:p w14:paraId="3F81D67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1.春夏秋冬四季秩序员上岗时，服装统一套装（按</w:t>
            </w:r>
            <w:r>
              <w:rPr>
                <w:rFonts w:hint="eastAsia" w:ascii="方正仿宋_GBK" w:hAnsi="方正仿宋_GBK" w:eastAsia="方正仿宋_GBK" w:cs="方正仿宋_GBK"/>
                <w:sz w:val="21"/>
                <w:szCs w:val="21"/>
                <w:lang w:val="en-US" w:eastAsia="zh-CN"/>
              </w:rPr>
              <w:t>比选人</w:t>
            </w:r>
            <w:r>
              <w:rPr>
                <w:rFonts w:hint="eastAsia" w:ascii="方正仿宋_GBK" w:hAnsi="方正仿宋_GBK" w:eastAsia="方正仿宋_GBK" w:cs="方正仿宋_GBK"/>
                <w:sz w:val="21"/>
                <w:szCs w:val="21"/>
              </w:rPr>
              <w:t>要求执行）。</w:t>
            </w:r>
          </w:p>
        </w:tc>
      </w:tr>
      <w:tr w14:paraId="1B7D28AB">
        <w:tblPrEx>
          <w:tblCellMar>
            <w:top w:w="0" w:type="dxa"/>
            <w:left w:w="108" w:type="dxa"/>
            <w:bottom w:w="0" w:type="dxa"/>
            <w:right w:w="108" w:type="dxa"/>
          </w:tblCellMar>
        </w:tblPrEx>
        <w:trPr>
          <w:trHeight w:val="570" w:hRule="atLeast"/>
        </w:trPr>
        <w:tc>
          <w:tcPr>
            <w:tcW w:w="1966" w:type="dxa"/>
            <w:vMerge w:val="continue"/>
            <w:tcBorders>
              <w:left w:val="single" w:color="auto" w:sz="4" w:space="0"/>
              <w:bottom w:val="single" w:color="000000" w:sz="4" w:space="0"/>
              <w:right w:val="single" w:color="auto" w:sz="4" w:space="0"/>
            </w:tcBorders>
            <w:noWrap w:val="0"/>
            <w:vAlign w:val="center"/>
          </w:tcPr>
          <w:p w14:paraId="64015FC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1CBB44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2.夜间保安均要外穿反光背心，配戴肩闪灯，持强光手电。</w:t>
            </w:r>
          </w:p>
        </w:tc>
      </w:tr>
      <w:tr w14:paraId="4B8B6704">
        <w:tblPrEx>
          <w:tblCellMar>
            <w:top w:w="0" w:type="dxa"/>
            <w:left w:w="108" w:type="dxa"/>
            <w:bottom w:w="0" w:type="dxa"/>
            <w:right w:w="108" w:type="dxa"/>
          </w:tblCellMar>
        </w:tblPrEx>
        <w:trPr>
          <w:trHeight w:val="1240" w:hRule="atLeast"/>
        </w:trPr>
        <w:tc>
          <w:tcPr>
            <w:tcW w:w="1966" w:type="dxa"/>
            <w:vMerge w:val="continue"/>
            <w:tcBorders>
              <w:left w:val="single" w:color="auto" w:sz="4" w:space="0"/>
              <w:bottom w:val="single" w:color="000000" w:sz="4" w:space="0"/>
              <w:right w:val="single" w:color="auto" w:sz="4" w:space="0"/>
            </w:tcBorders>
            <w:noWrap w:val="0"/>
            <w:vAlign w:val="center"/>
          </w:tcPr>
          <w:p w14:paraId="0339B1B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F480A6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冬季武装巡逻须穿戴防暴头盔、防刺服、战术手套并配带警棍、盾牌等防暴装备进行。夏季佩戴防暴头盔、反光背心、三角袖标并佩戴警棍、盾牌等配套防暴装备。巡逻人员为2人以上组队进行，须保持服装、装备、标准一致。</w:t>
            </w:r>
          </w:p>
        </w:tc>
      </w:tr>
      <w:tr w14:paraId="3655B1F9">
        <w:tblPrEx>
          <w:tblCellMar>
            <w:top w:w="0" w:type="dxa"/>
            <w:left w:w="108" w:type="dxa"/>
            <w:bottom w:w="0" w:type="dxa"/>
            <w:right w:w="108" w:type="dxa"/>
          </w:tblCellMar>
        </w:tblPrEx>
        <w:trPr>
          <w:trHeight w:val="570"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238E763B">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器材使用要求</w:t>
            </w:r>
          </w:p>
        </w:tc>
        <w:tc>
          <w:tcPr>
            <w:tcW w:w="7957" w:type="dxa"/>
            <w:tcBorders>
              <w:top w:val="nil"/>
              <w:left w:val="nil"/>
              <w:bottom w:val="single" w:color="auto" w:sz="4" w:space="0"/>
              <w:right w:val="single" w:color="auto" w:sz="4" w:space="0"/>
            </w:tcBorders>
            <w:noWrap w:val="0"/>
            <w:vAlign w:val="bottom"/>
          </w:tcPr>
          <w:p w14:paraId="1F4D189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1.爱护</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财物和设施设备，如因</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责任造成</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财物或设施设备损失、损坏的，由</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全额赔偿。</w:t>
            </w:r>
          </w:p>
        </w:tc>
      </w:tr>
      <w:tr w14:paraId="5A78C372">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8FBF45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8455F2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2.未经</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书面同意，</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不得将各类机器设备挪作他用或外借等。</w:t>
            </w:r>
          </w:p>
        </w:tc>
      </w:tr>
      <w:tr w14:paraId="3AACA5C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FFDD6FB">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1839FA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应按照</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要求配置安全工作相关器材设施。</w:t>
            </w:r>
          </w:p>
        </w:tc>
      </w:tr>
      <w:tr w14:paraId="4585A2AB">
        <w:tblPrEx>
          <w:tblCellMar>
            <w:top w:w="0" w:type="dxa"/>
            <w:left w:w="108" w:type="dxa"/>
            <w:bottom w:w="0" w:type="dxa"/>
            <w:right w:w="108" w:type="dxa"/>
          </w:tblCellMar>
        </w:tblPrEx>
        <w:trPr>
          <w:trHeight w:val="570"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19D52395">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工作管理要求</w:t>
            </w:r>
          </w:p>
        </w:tc>
        <w:tc>
          <w:tcPr>
            <w:tcW w:w="7957" w:type="dxa"/>
            <w:tcBorders>
              <w:top w:val="nil"/>
              <w:left w:val="nil"/>
              <w:bottom w:val="single" w:color="auto" w:sz="4" w:space="0"/>
              <w:right w:val="single" w:color="auto" w:sz="4" w:space="0"/>
            </w:tcBorders>
            <w:noWrap w:val="0"/>
            <w:vAlign w:val="bottom"/>
          </w:tcPr>
          <w:p w14:paraId="4A88E1E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1.每位秩序员在上岗前必须填写入职登记表并粘贴有效身份证件正反复印件，并加盖</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公司公章后报给</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备案，得到</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签字认可后方有资格上岗；</w:t>
            </w:r>
          </w:p>
        </w:tc>
      </w:tr>
      <w:tr w14:paraId="1DBE91F6">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F198E3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C0CF5B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2. </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派驻所有秩序员上下班必须打卡，由</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负责考勤信息汇总，</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不定期抽查；</w:t>
            </w:r>
          </w:p>
        </w:tc>
      </w:tr>
      <w:tr w14:paraId="07732AA5">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3FC6094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A799D8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3. </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需对其员工进行岗前培训后方可交由</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审核入职，并为员工提供良好的在职培训和训练。</w:t>
            </w:r>
          </w:p>
        </w:tc>
      </w:tr>
      <w:tr w14:paraId="601C7655">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CCA3D8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AAAC18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4.所有员工的招聘、录／退用由</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负责。</w:t>
            </w:r>
          </w:p>
        </w:tc>
      </w:tr>
      <w:tr w14:paraId="55360E3F">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63689C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3DCBA4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5.每位秩序员的通讯方法和联络方式应明确告知</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（登记在入职登记表中）。</w:t>
            </w:r>
          </w:p>
        </w:tc>
      </w:tr>
      <w:tr w14:paraId="4C5C50C7">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BF6A0D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EF969D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6.未经</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书面同意，</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不得随意更改上班作息时间和调换增减所属员工。如需调整应取得招标方同意。</w:t>
            </w:r>
          </w:p>
        </w:tc>
      </w:tr>
      <w:tr w14:paraId="3B463C77">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D3EF66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3FFF2A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7. </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对新入职人员要进行入职培训并有相关培训记录以及考核通过的说明。</w:t>
            </w:r>
          </w:p>
        </w:tc>
      </w:tr>
      <w:tr w14:paraId="4D0CBADC">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35B90E8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12B72D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8. </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在</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现场实施的所有规章制度、操作流程，须报经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审批后方可实施，如有修改，重新申报审批。</w:t>
            </w:r>
          </w:p>
        </w:tc>
      </w:tr>
      <w:tr w14:paraId="45325618">
        <w:tblPrEx>
          <w:tblCellMar>
            <w:top w:w="0" w:type="dxa"/>
            <w:left w:w="108" w:type="dxa"/>
            <w:bottom w:w="0" w:type="dxa"/>
            <w:right w:w="108" w:type="dxa"/>
          </w:tblCellMar>
        </w:tblPrEx>
        <w:trPr>
          <w:trHeight w:val="85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BF6E99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05F32E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9. </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和班长应随时巡查并确保秩序岗位符合招标方要求。招标方每天对秩序岗位不定时、地循环检查，对不合格项按标准扣分，每月汇总到月度付款报告中，根据结果给</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结算服务费用。</w:t>
            </w:r>
          </w:p>
        </w:tc>
      </w:tr>
      <w:tr w14:paraId="603E0145">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226760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33E1AA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10. </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必须保证规定岗位100％出勤率，否则按空岗处理，由此引起的一切不良后果均由中标单位承担。</w:t>
            </w:r>
          </w:p>
        </w:tc>
      </w:tr>
      <w:tr w14:paraId="2E54C808">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09986E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8F1132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提出更换不合格的秩序维护员，</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必须当日执行；</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提出更换不合格班长，</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必须在3天内调整完毕；</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提出的更换保安</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的要求，</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必须在1周内调整完毕。</w:t>
            </w:r>
          </w:p>
        </w:tc>
      </w:tr>
      <w:tr w14:paraId="40EC215B">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3ADF174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A309D2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12.为确保现场的服务质量，</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应每月确保离职率在10%以内，如果超出此离职率，根据结果给予中标单位结算服务费用或区域约谈。</w:t>
            </w:r>
          </w:p>
        </w:tc>
      </w:tr>
      <w:tr w14:paraId="5F342B8F">
        <w:tblPrEx>
          <w:tblCellMar>
            <w:top w:w="0" w:type="dxa"/>
            <w:left w:w="108" w:type="dxa"/>
            <w:bottom w:w="0" w:type="dxa"/>
            <w:right w:w="108" w:type="dxa"/>
          </w:tblCellMar>
        </w:tblPrEx>
        <w:trPr>
          <w:trHeight w:val="600"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31AF8B6E">
            <w:pPr>
              <w:spacing w:line="240" w:lineRule="auto"/>
              <w:ind w:firstLine="0" w:firstLineChars="0"/>
              <w:jc w:val="center"/>
              <w:rPr>
                <w:rFonts w:hint="eastAsia" w:ascii="方正仿宋_GBK" w:hAnsi="方正仿宋_GBK" w:eastAsia="方正仿宋_GBK" w:cs="方正仿宋_GBK"/>
                <w:sz w:val="21"/>
                <w:szCs w:val="21"/>
              </w:rPr>
            </w:pPr>
          </w:p>
          <w:p w14:paraId="280CC287">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培训/训练</w:t>
            </w:r>
          </w:p>
          <w:p w14:paraId="383CDB5E">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要求</w:t>
            </w:r>
          </w:p>
        </w:tc>
        <w:tc>
          <w:tcPr>
            <w:tcW w:w="7957" w:type="dxa"/>
            <w:tcBorders>
              <w:top w:val="nil"/>
              <w:left w:val="nil"/>
              <w:bottom w:val="single" w:color="auto" w:sz="4" w:space="0"/>
              <w:right w:val="single" w:color="auto" w:sz="4" w:space="0"/>
            </w:tcBorders>
            <w:noWrap w:val="0"/>
            <w:vAlign w:val="bottom"/>
          </w:tcPr>
          <w:p w14:paraId="456D1F9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1.秩序维护员每周由安全综合主管带队，在</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指定地点集体训练、培训45分钟，训练、培训时间</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不再另行计算酬劳。</w:t>
            </w:r>
          </w:p>
        </w:tc>
      </w:tr>
      <w:tr w14:paraId="370C7E39">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B8D09B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944B57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2.培训内容包括礼貌礼仪、岗位纪律、岗位要求、政策法规、项目简介、应急流程等所有岗上应知应会内容，并可能随时接受岗上检查。</w:t>
            </w:r>
          </w:p>
        </w:tc>
      </w:tr>
      <w:tr w14:paraId="78949719">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231EAC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BAD68E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3.训练内容包括站姿、队列、消防演习、消防设备使用等方面，训练计划要报</w:t>
            </w:r>
            <w:r>
              <w:rPr>
                <w:rFonts w:hint="eastAsia" w:ascii="方正仿宋_GBK" w:hAnsi="方正仿宋_GBK" w:eastAsia="方正仿宋_GBK" w:cs="方正仿宋_GBK"/>
                <w:sz w:val="21"/>
                <w:szCs w:val="21"/>
                <w:lang w:val="en-US" w:eastAsia="zh-CN"/>
              </w:rPr>
              <w:t>比选人</w:t>
            </w:r>
            <w:r>
              <w:rPr>
                <w:rFonts w:hint="eastAsia" w:ascii="方正仿宋_GBK" w:hAnsi="方正仿宋_GBK" w:eastAsia="方正仿宋_GBK" w:cs="方正仿宋_GBK"/>
                <w:sz w:val="21"/>
                <w:szCs w:val="21"/>
              </w:rPr>
              <w:t>备案并留存培训图片和培训记录签到。</w:t>
            </w:r>
          </w:p>
        </w:tc>
      </w:tr>
      <w:tr w14:paraId="7568396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305DF4B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2D3A94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4.培训和训练内容、参训人员、时间均要有书面记录。</w:t>
            </w:r>
          </w:p>
        </w:tc>
      </w:tr>
      <w:tr w14:paraId="2EE363EF">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0160BF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C4059D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5.秩序队员需要接受相关内容培训，并要求考核达标。</w:t>
            </w:r>
          </w:p>
        </w:tc>
      </w:tr>
      <w:tr w14:paraId="22753828">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6805CAA4">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换岗要求</w:t>
            </w:r>
          </w:p>
        </w:tc>
        <w:tc>
          <w:tcPr>
            <w:tcW w:w="7957" w:type="dxa"/>
            <w:tcBorders>
              <w:top w:val="nil"/>
              <w:left w:val="nil"/>
              <w:bottom w:val="single" w:color="auto" w:sz="4" w:space="0"/>
              <w:right w:val="single" w:color="auto" w:sz="4" w:space="0"/>
            </w:tcBorders>
            <w:noWrap w:val="0"/>
            <w:vAlign w:val="bottom"/>
          </w:tcPr>
          <w:p w14:paraId="454E245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1.门岗秩序队员在执勤期间，站岗时间满2小时至少换岗休息一次，以便保安员精力恢复和处理个人私事。</w:t>
            </w:r>
          </w:p>
        </w:tc>
      </w:tr>
      <w:tr w14:paraId="241B08BA">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AC4F14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03CE3E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2.夜班门岗点坐于岗亭外，巡逻岗值班期间定时巡逻，不得私自更改定点位置及巡更路线，并避免打盹睡觉等违规行为。</w:t>
            </w:r>
          </w:p>
        </w:tc>
      </w:tr>
      <w:tr w14:paraId="78FBE16D">
        <w:tblPrEx>
          <w:tblCellMar>
            <w:top w:w="0" w:type="dxa"/>
            <w:left w:w="108" w:type="dxa"/>
            <w:bottom w:w="0" w:type="dxa"/>
            <w:right w:w="108" w:type="dxa"/>
          </w:tblCellMar>
        </w:tblPrEx>
        <w:trPr>
          <w:trHeight w:val="285" w:hRule="atLeast"/>
        </w:trPr>
        <w:tc>
          <w:tcPr>
            <w:tcW w:w="1966" w:type="dxa"/>
            <w:tcBorders>
              <w:top w:val="nil"/>
              <w:left w:val="single" w:color="auto" w:sz="4" w:space="0"/>
              <w:bottom w:val="single" w:color="auto" w:sz="4" w:space="0"/>
              <w:right w:val="single" w:color="auto" w:sz="4" w:space="0"/>
            </w:tcBorders>
            <w:noWrap w:val="0"/>
            <w:vAlign w:val="bottom"/>
          </w:tcPr>
          <w:p w14:paraId="01564721">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奖惩规定</w:t>
            </w:r>
          </w:p>
        </w:tc>
        <w:tc>
          <w:tcPr>
            <w:tcW w:w="7957" w:type="dxa"/>
            <w:tcBorders>
              <w:top w:val="nil"/>
              <w:left w:val="nil"/>
              <w:bottom w:val="single" w:color="auto" w:sz="4" w:space="0"/>
              <w:right w:val="single" w:color="auto" w:sz="4" w:space="0"/>
            </w:tcBorders>
            <w:noWrap w:val="0"/>
            <w:vAlign w:val="bottom"/>
          </w:tcPr>
          <w:p w14:paraId="4CD387B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派驻秩序维护员的奖惩考核遵照外包服务合同约定执行。</w:t>
            </w:r>
          </w:p>
        </w:tc>
      </w:tr>
      <w:tr w14:paraId="50B5C149">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right w:val="single" w:color="auto" w:sz="4" w:space="0"/>
            </w:tcBorders>
            <w:noWrap w:val="0"/>
            <w:vAlign w:val="center"/>
          </w:tcPr>
          <w:p w14:paraId="2995EAD1">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后勤管理</w:t>
            </w:r>
          </w:p>
        </w:tc>
        <w:tc>
          <w:tcPr>
            <w:tcW w:w="7957" w:type="dxa"/>
            <w:tcBorders>
              <w:top w:val="nil"/>
              <w:left w:val="nil"/>
              <w:bottom w:val="single" w:color="auto" w:sz="4" w:space="0"/>
              <w:right w:val="single" w:color="auto" w:sz="4" w:space="0"/>
            </w:tcBorders>
            <w:noWrap w:val="0"/>
            <w:vAlign w:val="bottom"/>
          </w:tcPr>
          <w:p w14:paraId="022F490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1.整体环境良好，室内通风、不潮湿、无异味，无乱丢乱扔，乱张贴，无私拉乱接。床位稳固摆放合理。床面物品平整干净，被子折叠整齐，摆放统一。</w:t>
            </w:r>
          </w:p>
        </w:tc>
      </w:tr>
      <w:tr w14:paraId="5791B9B7">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26E2ADA1">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A10551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椅柜摆放有序，无乱堆放，无破损。相关管理制度按照集团下发相关标准制度执行，物品配置到位，且摆放整齐、有序，标识标牌规范张贴。不高声喧哗，不打牌酗酒、不从事不正当娱乐。不得留宿管理处以外工作人员，留宿人员须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项目负责人同意。节约用水、电、气。无人情况下，应关闭电视、照明及空调等电源。</w:t>
            </w:r>
          </w:p>
        </w:tc>
      </w:tr>
      <w:tr w14:paraId="4D576C79">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5A73F1EC">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出入口管理</w:t>
            </w:r>
          </w:p>
        </w:tc>
        <w:tc>
          <w:tcPr>
            <w:tcW w:w="7957" w:type="dxa"/>
            <w:tcBorders>
              <w:top w:val="nil"/>
              <w:left w:val="nil"/>
              <w:bottom w:val="single" w:color="auto" w:sz="4" w:space="0"/>
              <w:right w:val="single" w:color="auto" w:sz="4" w:space="0"/>
            </w:tcBorders>
            <w:noWrap w:val="0"/>
            <w:vAlign w:val="center"/>
          </w:tcPr>
          <w:p w14:paraId="5F3A508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小区人员、车辆实行凭证/卡或指纹识别等方式进入（具体根据门岗配置设备确定）。来访人员、车辆应严格盘问，经中控室向被访业主确认后方可进入。如向业主确认时间超过5分钟，应主动向来访人员致歉，并征得对方理解。人员进入后，应及时做好来访人员登记。</w:t>
            </w:r>
          </w:p>
        </w:tc>
      </w:tr>
      <w:tr w14:paraId="316D06B5">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6BD1EC81">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5D9A2C0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大件物品（电器设备、家私等）拿出小区时，应凭客户服务中心开具的《放行条》予以登记放行。物品放行时，拿出人员应凭有效身份证件在《物品放行登记本》上签字确认。雨篷、钢架、防盗网等可能影响建筑外观的建材进入小区时，应通知工程部装修监管责任人，待该责任人同意后方可放行，同时做好物品进入登记。小区住户委托临时存放在岗位上的物品，应规范放置于“临时物品放置区”等指定位置，并按要求做好相应登记。物品取走后，应由取件人签收。</w:t>
            </w:r>
          </w:p>
        </w:tc>
      </w:tr>
      <w:tr w14:paraId="2DB8D186">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7E0D2014">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1A03F48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装修人员需办理《临时出入证》（实行一人一证，正副本），凭证进入时，证件副本应留存于门岗，待人员离开时予以归还。检查房号、姓名、相片管理处公章，过期证件不得使用。着装不得将赤裸上身工人进入小区，改正后方可放行。供方人员着工作服，带有效工作证出入。</w:t>
            </w:r>
          </w:p>
        </w:tc>
      </w:tr>
      <w:tr w14:paraId="097DE560">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25AFCA2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1D80F13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4.客户使用手推车、伞时，应主动询问使用者所去楼幢及房号，通知巡逻岗注意收回手推车、伞，同时按要求做好登记。手推车、伞具回收后，应及时做好销账登记。</w:t>
            </w:r>
          </w:p>
        </w:tc>
      </w:tr>
      <w:tr w14:paraId="4CB6F701">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449D330E">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巡逻管理</w:t>
            </w:r>
          </w:p>
        </w:tc>
        <w:tc>
          <w:tcPr>
            <w:tcW w:w="7957" w:type="dxa"/>
            <w:tcBorders>
              <w:top w:val="nil"/>
              <w:left w:val="nil"/>
              <w:bottom w:val="single" w:color="auto" w:sz="4" w:space="0"/>
              <w:right w:val="single" w:color="auto" w:sz="4" w:space="0"/>
            </w:tcBorders>
            <w:noWrap w:val="0"/>
            <w:vAlign w:val="center"/>
          </w:tcPr>
          <w:p w14:paraId="5FC6878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1.按公司要求做好管理区域巡逻，并及时做好巡逻工作记录。巡查频次按照公司《大管家巡更管理制度》要求执行，严禁弄虚作假。</w:t>
            </w:r>
          </w:p>
        </w:tc>
      </w:tr>
      <w:tr w14:paraId="296DF56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6C8DE516">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156A676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2.《巡逻记录本》应随身携带，并及时记录巡逻中发现的问题，并及时向客户服务中心（夜间：中控室）反映。夜间巡逻岗应配置手持电筒，以便巡逻过程中对安全隐患区域排查。</w:t>
            </w:r>
          </w:p>
        </w:tc>
      </w:tr>
      <w:tr w14:paraId="719DA784">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3C45475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3413000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3.现场重要的安全标识、标示无脱落。发现可疑人员盘查、核实、驱逐。发现公共设施损坏坏时，及时上报记录。公共秩序良好，无乱摆卖现象。</w:t>
            </w:r>
          </w:p>
        </w:tc>
      </w:tr>
      <w:tr w14:paraId="1C11545B">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28A2990F">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019A2FF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4.园区消防通道车辆停放管理、游泳池、设备设施异常情况。楼层及消防通道安全隐患排查（消防通道保持畅通，不得堆放杂物等）。园区摄像头、围墙周界系统正常运行测试，且无障碍物遮档。</w:t>
            </w:r>
          </w:p>
        </w:tc>
      </w:tr>
      <w:tr w14:paraId="645178B9">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900859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584AC0A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5.遇提重物或行动不便的住户，应主动上前提供帮助。巡逻员应负责业主专用手推车、业主专用伞具的回收管理。</w:t>
            </w:r>
          </w:p>
        </w:tc>
      </w:tr>
      <w:tr w14:paraId="2117159D">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25646F9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08836A8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车场管理员建立车位管台账，已售车位、月租车位及临停车位信息准确、明晰。车场管理员负责每月28日前与客户服务中心进行一次车位使用信息核对、更新。收到地产已售车位信息3个工作日内，应将“私家车位”（“专属车位”）标识牌规范张挂（如地产公司未提供标识牌，应在醒目位置张贴纸制标识），并完善相关公示信息。确保车库所有限速、导视标识等清晰完好在位。保持车库地面、设施设备的清洁卫生良好。</w:t>
            </w:r>
          </w:p>
        </w:tc>
      </w:tr>
      <w:tr w14:paraId="5997C697">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bottom"/>
          </w:tcPr>
          <w:p w14:paraId="754243A0">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监控室管理</w:t>
            </w:r>
          </w:p>
        </w:tc>
        <w:tc>
          <w:tcPr>
            <w:tcW w:w="7957" w:type="dxa"/>
            <w:tcBorders>
              <w:top w:val="nil"/>
              <w:left w:val="nil"/>
              <w:bottom w:val="single" w:color="auto" w:sz="4" w:space="0"/>
              <w:right w:val="single" w:color="auto" w:sz="4" w:space="0"/>
            </w:tcBorders>
            <w:noWrap w:val="0"/>
            <w:vAlign w:val="center"/>
          </w:tcPr>
          <w:p w14:paraId="1FF2D80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1.</w:t>
            </w:r>
            <w:r>
              <w:rPr>
                <w:rFonts w:hint="eastAsia" w:ascii="方正仿宋_GBK" w:hAnsi="方正仿宋_GBK" w:eastAsia="方正仿宋_GBK" w:cs="方正仿宋_GBK"/>
                <w:sz w:val="21"/>
                <w:szCs w:val="21"/>
              </w:rPr>
              <w:t>值班人员应定期对消防控制系统设备及通讯器材进行检查，以确保运行良好性。熟悉消防通道、现场紧急疏散路线及火灾等应急预案处理流程。发生险情，应尽快确认，及时启动消防设备。必要时，迅速拨打119火警电话。夜间组织各岗位按时间要求进行报岗。常用的联系电话准确无误。信息处理及时，联络顺畅，可疑情况监控到位有记录。</w:t>
            </w:r>
          </w:p>
        </w:tc>
      </w:tr>
      <w:tr w14:paraId="6DE2367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1EA5E96">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4D670A2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2.每周与巡逻队员进行联动，对园区周界系统（红外报警及电子围栏）、单元门禁、电梯三方对讲等进行检查测试，确保设施设备运行正常。</w:t>
            </w:r>
          </w:p>
        </w:tc>
      </w:tr>
      <w:tr w14:paraId="42465C4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63DC40A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6831C2E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客户来访：应配合门岗值班人员做好来访客户身份确认及记录工作。熟悉电话接听服务标准及报事处理流程，配合客户服务中心做好客户电话报事接待工作，并做好相关工作记录。客户服务中心工作时间中控室接到报事后，应立即将信息反馈至客户服务中心处理；非客户服务中心工作时间中控室直接联系专业服务部门/人员处理，报事及处理信息于次日上午9时前向客户服务中心反馈。注意：不得出现误报、漏报等现象。</w:t>
            </w:r>
          </w:p>
        </w:tc>
      </w:tr>
      <w:tr w14:paraId="61973A72">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38B41C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6870B27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非中控室值班人员未经允许不得入内。如遇公司品质巡检或消防部门检查等特殊情况，非值班人员进入中控室之前，首先应核实其身份后方可进入，同时，按要求在《来访人员登记表》中完善登记信息。负责中控室办公环境清洁卫生，保持室内干燥及合适温度（20—26摄氏度为宜）。</w:t>
            </w:r>
          </w:p>
        </w:tc>
      </w:tr>
      <w:tr w14:paraId="62DC19A1">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6242B65A">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630F18F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5.妥善保存各项监控资料，未经公司相关领导同意，任何人不得无故中断监控或删除监控资料，不得将临控数据资料、图像资料复制给其他单位或个人。严禁使用监控设备做与工作无关的事情。</w:t>
            </w:r>
          </w:p>
        </w:tc>
      </w:tr>
      <w:tr w14:paraId="6067C050">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50760DC0">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消防管理</w:t>
            </w:r>
          </w:p>
        </w:tc>
        <w:tc>
          <w:tcPr>
            <w:tcW w:w="7957" w:type="dxa"/>
            <w:tcBorders>
              <w:top w:val="nil"/>
              <w:left w:val="nil"/>
              <w:bottom w:val="single" w:color="auto" w:sz="4" w:space="0"/>
              <w:right w:val="single" w:color="auto" w:sz="4" w:space="0"/>
            </w:tcBorders>
            <w:noWrap w:val="0"/>
            <w:vAlign w:val="center"/>
          </w:tcPr>
          <w:p w14:paraId="75365FD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火灾报警控制器、联动控制器、楼层复示器、探测器、手报等完好。探测器进行模拟火灾响应试验和故障报警试验，反应正常。手动报警按钮进行模拟火灾响应试验和故障报警试验，反应正常。测试手动和自动试验相关消防联动控制设备的控制和显示功能，反应正常。利用报警阀上的放水试验阀放水，试验系统供水情况，测试报警阀，水力警铃，压力信号等正常．水压正常。室内外消火栓，水泵接合器设施等完好。对屋顶消火栓或最不利点消火栓进行出水试验，检查网压力和水质及消防储水量，反应正常。试验与消防控制室联动功能。信号反馈功正常。室内外灭火器气压达标，符合使用要求。</w:t>
            </w:r>
          </w:p>
        </w:tc>
      </w:tr>
      <w:tr w14:paraId="584CD2E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7ACE38A4">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45A5357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2.室内外消火栓、灭火器每月至少检查一次，并在检查记录表中签字确认。如遇对外张贴的检查记录/封条等出现破损，应及时更换。</w:t>
            </w:r>
          </w:p>
        </w:tc>
      </w:tr>
      <w:tr w14:paraId="1B046962">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3E1EDE53">
            <w:pPr>
              <w:spacing w:line="240" w:lineRule="auto"/>
              <w:ind w:firstLine="0" w:firstLineChars="0"/>
              <w:rPr>
                <w:rFonts w:hint="eastAsia" w:ascii="方正仿宋_GBK" w:hAnsi="方正仿宋_GBK" w:cs="方正仿宋_GBK"/>
                <w:sz w:val="21"/>
                <w:szCs w:val="21"/>
              </w:rPr>
            </w:pPr>
          </w:p>
          <w:p w14:paraId="567E9EC6">
            <w:pPr>
              <w:spacing w:line="240" w:lineRule="auto"/>
              <w:ind w:firstLine="0" w:firstLineChars="0"/>
              <w:rPr>
                <w:rFonts w:hint="eastAsia" w:ascii="方正仿宋_GBK" w:hAnsi="方正仿宋_GBK" w:cs="方正仿宋_GBK"/>
                <w:sz w:val="21"/>
                <w:szCs w:val="21"/>
              </w:rPr>
            </w:pPr>
          </w:p>
          <w:p w14:paraId="55E75F41">
            <w:pPr>
              <w:spacing w:line="240" w:lineRule="auto"/>
              <w:ind w:firstLine="0" w:firstLineChars="0"/>
              <w:rPr>
                <w:rFonts w:hint="eastAsia" w:ascii="方正仿宋_GBK" w:hAnsi="方正仿宋_GBK" w:cs="方正仿宋_GBK"/>
                <w:sz w:val="21"/>
                <w:szCs w:val="21"/>
              </w:rPr>
            </w:pPr>
          </w:p>
          <w:p w14:paraId="3AB3E538">
            <w:pPr>
              <w:spacing w:line="240" w:lineRule="auto"/>
              <w:ind w:firstLine="0" w:firstLineChars="0"/>
              <w:rPr>
                <w:rFonts w:hint="eastAsia" w:ascii="方正仿宋_GBK" w:hAnsi="方正仿宋_GBK" w:cs="方正仿宋_GBK"/>
                <w:sz w:val="21"/>
                <w:szCs w:val="21"/>
              </w:rPr>
            </w:pPr>
          </w:p>
          <w:p w14:paraId="46DA5E0B">
            <w:pPr>
              <w:spacing w:line="240" w:lineRule="auto"/>
              <w:ind w:firstLine="0" w:firstLineChars="0"/>
              <w:rPr>
                <w:rFonts w:hint="eastAsia" w:ascii="方正仿宋_GBK" w:hAnsi="方正仿宋_GBK" w:cs="方正仿宋_GBK"/>
                <w:sz w:val="21"/>
                <w:szCs w:val="21"/>
              </w:rPr>
            </w:pPr>
          </w:p>
          <w:p w14:paraId="16D32E78">
            <w:pPr>
              <w:spacing w:line="240" w:lineRule="auto"/>
              <w:ind w:firstLine="0" w:firstLineChars="0"/>
              <w:rPr>
                <w:rFonts w:hint="eastAsia" w:ascii="方正仿宋_GBK" w:hAnsi="方正仿宋_GBK" w:cs="方正仿宋_GBK"/>
                <w:sz w:val="21"/>
                <w:szCs w:val="21"/>
              </w:rPr>
            </w:pPr>
          </w:p>
          <w:p w14:paraId="6778E526">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突发事件处理</w:t>
            </w:r>
          </w:p>
        </w:tc>
        <w:tc>
          <w:tcPr>
            <w:tcW w:w="7957" w:type="dxa"/>
            <w:tcBorders>
              <w:top w:val="nil"/>
              <w:left w:val="nil"/>
              <w:bottom w:val="single" w:color="auto" w:sz="4" w:space="0"/>
              <w:right w:val="single" w:color="auto" w:sz="4" w:space="0"/>
            </w:tcBorders>
            <w:noWrap w:val="0"/>
            <w:vAlign w:val="bottom"/>
          </w:tcPr>
          <w:p w14:paraId="51652F1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1、所有秩序人员须对各类应急流程熟悉，并掌握各项应急处置技能。</w:t>
            </w:r>
          </w:p>
        </w:tc>
      </w:tr>
      <w:tr w14:paraId="57C2447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47454EA">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D3DA7A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2、园区所有紧急情况当值秩序员须在接到通知后3分钟赶到现场，10层以上楼层5分钟赶到现场。</w:t>
            </w:r>
          </w:p>
        </w:tc>
      </w:tr>
      <w:tr w14:paraId="12F62FB0">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1F859AD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BF77E4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3、园区如发生各类突发事件、紧急情况须第一时间报告，并根据不同事件类别做出妥善处理。</w:t>
            </w:r>
          </w:p>
        </w:tc>
      </w:tr>
      <w:tr w14:paraId="422809C0">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255CD667">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EFC512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4、临时停电处理：立即排查电梯是否有人员被困，如有人员将困应立即安抚并通知工程和电梯维保人员进行施救；向工程部了解停电原因，告知管理处前台并向客户做好解释工作；各岗位员工保持高度警惕，协助解决各种突发事情并严防人员趁机作案；恢复供电后，应立即巡视园区/楼层排除安全隐患。如停电时间较长，应提醒客服中心打印温馨提示在园区告示栏张贴，并做好相关宣传解释工作。必要时，准备足量蜡烛在小区主出入口发放。 </w:t>
            </w:r>
          </w:p>
        </w:tc>
      </w:tr>
      <w:tr w14:paraId="44197506">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06E655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9A3372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5、遇客户受伤或发病：第一时间赶到现场。立即报告项目值班经理和</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，在有可能的情况下，通知住户的单位及家属快速至现场。如情况危急，速打急救电话120。</w:t>
            </w:r>
          </w:p>
        </w:tc>
      </w:tr>
      <w:tr w14:paraId="5E747BCF">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3EFEF75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901C110">
            <w:pPr>
              <w:adjustRightInd/>
              <w:snapToGrid/>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火灾事故处理：秩序员接到火灾报警时，严守各自岗位待命。做好安全防范工作，以防坏人浑水摸鱼、趁火打劫。消防控制室值班人员将电梯迫降至首层，消防电梯进入消防状态。所有员工应听从指挥，无条件服从领导及现场总指挥调配，按照分工，各司其责，在确保自身安全的前题下，积极扑救抢险。现场若困有住户，应本着“先人员，后财产”的原则抢救。若室内无人，无钥匙开门的情况下，则由</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或秩序</w:t>
            </w:r>
            <w:r>
              <w:rPr>
                <w:rFonts w:hint="eastAsia" w:ascii="方正仿宋_GBK" w:hAnsi="方正仿宋_GBK" w:eastAsia="方正仿宋_GBK" w:cs="方正仿宋_GBK"/>
                <w:sz w:val="21"/>
                <w:szCs w:val="21"/>
                <w:lang w:val="en-US" w:eastAsia="zh-CN"/>
              </w:rPr>
              <w:t>班</w:t>
            </w:r>
            <w:r>
              <w:rPr>
                <w:rFonts w:hint="eastAsia" w:ascii="方正仿宋_GBK" w:hAnsi="方正仿宋_GBK" w:eastAsia="方正仿宋_GBK" w:cs="方正仿宋_GBK"/>
                <w:sz w:val="21"/>
                <w:szCs w:val="21"/>
              </w:rPr>
              <w:t>长决定是否破门进入房间扑救，事后由管理处负责向住户做解释工作。疏散人员时应走消防楼梯，严禁使用电梯。扑救完毕后，管理处安排人员协助有关部门查明原因、查明损失，并做好安置工作。</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应做好事故记录，并提交书面报告至管理处。</w:t>
            </w:r>
          </w:p>
        </w:tc>
      </w:tr>
      <w:tr w14:paraId="03CBDB4A">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672C24F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0D80B8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可疑人员处理：门岗执勤中如发现可疑分子时，要盘查其证件，对持无效证件或说不出正当理由的人员禁止进入小区。巡逻执勤中发现可疑分子时，要查验其证件，必要时带到物业办公室进一步核查。发现有推销业务和散发广告的要坚决制止，可收缴其宣传资料；对不听从劝阻的，可带到物业办公室沟通处理，登记下证件号码，经教育后请出小区。在处理各类可疑人员时，须注意自身安全，同时不允许简单粗暴实施殴打及直接搜身，更不允许敲诈、勒索、私自罚款。如遇作案嫌疑人要严格盘查控制，并立即通知</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，由</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视情况进行报警处理。</w:t>
            </w:r>
          </w:p>
        </w:tc>
      </w:tr>
      <w:tr w14:paraId="741A9530">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192F041B">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2A2B4C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盗抢事件处理：秩序员在执勤中遇有（或接报）公开使用暴力或其他手段（如打、砸、抢、偷等）强行索取或毁坏公司和住户财物或威胁住户人身安全的犯罪行为时，应在保障自身安全的同时，迅速采取措施制止犯罪。当发生突发案件时，要保持镇静，设法制服罪犯，同时立即通过通迅设备呼叫求援。所有持对讲机的机动巡逻秩序员在听到求援信号后，要立即赶到现场，同时通知监控室进行录像，门岗封锁小区出口，并立即向上级汇报。若犯罪分子逃跑，一时又追捕不上时，要看清人数、衣着、相貌、身体特征，所用交通工具及特征等，并及时写出书面报告，重大案件要立即拨“110”电话报警。有案发现场的（包括偷盗、抢劫现场）要保护现场，任何人不得擅自移动任何东西，包括罪犯分子留下的一切手印、脚印、烟头等，不得让外人进入现场；在公安机关未勘查现场或现场勘查完毕之前不能离开。记录住户及知情人员所提供的所有信息，记录被抢（盗）物品及价值，询问住户是否有任何线索、怀疑对象等情况。属流动作案没固定现场的，对犯罪分子遗留下的各种物品、作案工具等，应保护好现场待警方到场时提取，警方无法到场时可用钳子或其他工具提取，然后放进塑料袋内妥善保存交公安机关，切不可将秩序员或其他人员的指纹等痕迹留在物品上。事主或现场如有人员受伤，要立即设法尽快送医院医治抢救并报告公安机关。安全综合主管应做好现场记录，并提交书面报告至项目管理处。</w:t>
            </w:r>
          </w:p>
        </w:tc>
      </w:tr>
      <w:tr w14:paraId="2F5CC7E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3EC1A7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C1C883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打架斗殴处理：在执勤中（以及住户投诉中）发现住户之间有争吵、斗殴的现象要及时劝阻制止。制止的原则为：①劝阻双方住手、住口；②将争吵或斗殴的双方或一方住户劝离现场；③有伤员则先送伤员去医院救治。同时迅速报告</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及管理处相关领导出面调解，如个人力量单薄，应请求增援。在制止争吵、斗殴双方时，应注意自身安全，同时切记不能动粗，不允许恶言相向。</w:t>
            </w:r>
          </w:p>
        </w:tc>
      </w:tr>
      <w:tr w14:paraId="74B1668A">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D1762FF">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33CC07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醉酒闹事及精神病人处理：巡逻队员发现醉酒或精神病人失去理智，处于不能自控的状态下容易对自身或其他人员造成伤害时，应及时通知安全综合主管支援处理。对醉酒者或精神病人应判断其是否处于不能自控的状态，或易对自身或其他人员造成伤害，应及时对其采取控制和监督措施。如是熟悉或认识的醉酒者或精神病人，应设法立即通知其家人或工作单位，请其派人领回，并采取控制和监护措施。若醉酒或精神病人有危害社会公共秩序的行为，可立即采取有效措施制止其危害行为并报警，同时做好现场及过程取证工作。</w:t>
            </w:r>
          </w:p>
        </w:tc>
      </w:tr>
      <w:tr w14:paraId="5381ADC9">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2DFDB26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D39D1D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11、触电事件处理：发现有人触电应马上赶到现场并关闭电源。在未关闭电源之前切不可用人体接触触电人员，以防自己也触电，应用绝缘的材料将触电人员从电源处分开。立即进行人工急救并拨打120送医处理。</w:t>
            </w:r>
          </w:p>
        </w:tc>
      </w:tr>
      <w:tr w14:paraId="15257852">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F26EBFF">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DEC033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水浸事件处理：当接到住户投诉或报告后，立即前往现场观察。抵达现场后，立刻查找出水的来源，检查出水阀位置，并立即关闭有关水阀。下水道堵塞，应立即通知工程人员前来疏通。观察现场附近是否有电掣，如有浸水应立即切断电源，以防水浸漏电伤人。如属于喷淋排水应立即用水带将爆裂喷淋水引至附近排水口或下水道，并立即通知工程部人员至现场处理。</w:t>
            </w:r>
          </w:p>
        </w:tc>
      </w:tr>
      <w:tr w14:paraId="02B2F148">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4BA949C4">
            <w:pPr>
              <w:spacing w:line="240" w:lineRule="auto"/>
              <w:ind w:firstLine="0" w:firstLineChars="0"/>
              <w:rPr>
                <w:rFonts w:hint="eastAsia" w:ascii="方正仿宋_GBK" w:hAnsi="方正仿宋_GBK" w:cs="方正仿宋_GBK"/>
                <w:sz w:val="21"/>
                <w:szCs w:val="21"/>
              </w:rPr>
            </w:pPr>
          </w:p>
          <w:p w14:paraId="50542120">
            <w:pPr>
              <w:spacing w:line="240" w:lineRule="auto"/>
              <w:ind w:firstLine="0" w:firstLineChars="0"/>
              <w:rPr>
                <w:rFonts w:hint="eastAsia" w:ascii="方正仿宋_GBK" w:hAnsi="方正仿宋_GBK" w:cs="方正仿宋_GBK"/>
                <w:sz w:val="21"/>
                <w:szCs w:val="21"/>
              </w:rPr>
            </w:pPr>
          </w:p>
          <w:p w14:paraId="01ED3E21">
            <w:pPr>
              <w:spacing w:line="240" w:lineRule="auto"/>
              <w:ind w:firstLine="0" w:firstLineChars="0"/>
              <w:rPr>
                <w:rFonts w:hint="eastAsia" w:ascii="方正仿宋_GBK" w:hAnsi="方正仿宋_GBK" w:cs="方正仿宋_GBK"/>
                <w:sz w:val="21"/>
                <w:szCs w:val="21"/>
              </w:rPr>
            </w:pPr>
          </w:p>
          <w:p w14:paraId="0139CD4A">
            <w:pPr>
              <w:spacing w:line="240" w:lineRule="auto"/>
              <w:ind w:firstLine="0" w:firstLineChars="0"/>
              <w:rPr>
                <w:rFonts w:hint="eastAsia" w:ascii="方正仿宋_GBK" w:hAnsi="方正仿宋_GBK" w:cs="方正仿宋_GBK"/>
                <w:sz w:val="21"/>
                <w:szCs w:val="21"/>
              </w:rPr>
            </w:pPr>
          </w:p>
          <w:p w14:paraId="0625A062">
            <w:pPr>
              <w:spacing w:line="240" w:lineRule="auto"/>
              <w:ind w:firstLine="0" w:firstLineChars="0"/>
              <w:rPr>
                <w:rFonts w:hint="eastAsia" w:ascii="方正仿宋_GBK" w:hAnsi="方正仿宋_GBK" w:cs="方正仿宋_GBK"/>
                <w:sz w:val="21"/>
                <w:szCs w:val="21"/>
              </w:rPr>
            </w:pPr>
          </w:p>
          <w:p w14:paraId="0C24F31C">
            <w:pPr>
              <w:spacing w:line="240" w:lineRule="auto"/>
              <w:ind w:firstLine="0" w:firstLineChars="0"/>
              <w:rPr>
                <w:rFonts w:hint="eastAsia" w:ascii="方正仿宋_GBK" w:hAnsi="方正仿宋_GBK" w:cs="方正仿宋_GBK"/>
                <w:sz w:val="21"/>
                <w:szCs w:val="21"/>
              </w:rPr>
            </w:pPr>
          </w:p>
          <w:p w14:paraId="368E5357">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常规例行事务</w:t>
            </w:r>
          </w:p>
          <w:p w14:paraId="11C440C9">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频次及标准</w:t>
            </w:r>
          </w:p>
        </w:tc>
        <w:tc>
          <w:tcPr>
            <w:tcW w:w="7957" w:type="dxa"/>
            <w:tcBorders>
              <w:top w:val="nil"/>
              <w:left w:val="nil"/>
              <w:bottom w:val="single" w:color="auto" w:sz="4" w:space="0"/>
              <w:right w:val="single" w:color="auto" w:sz="4" w:space="0"/>
            </w:tcBorders>
            <w:noWrap w:val="0"/>
            <w:vAlign w:val="bottom"/>
          </w:tcPr>
          <w:p w14:paraId="59280C8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电梯三方通话测试：每周一次全覆盖，故障立即报事跟进处理，记录完善。</w:t>
            </w:r>
          </w:p>
        </w:tc>
      </w:tr>
      <w:tr w14:paraId="53324D93">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2FC73C27">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C77C43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周界（红外报警/电子围栏/园区围合）测试：每周一次全覆盖，故障立即报事跟进处理，记录完善。</w:t>
            </w:r>
          </w:p>
        </w:tc>
      </w:tr>
      <w:tr w14:paraId="76CBFFC3">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5178B82C">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0A7082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园区安全防范测试演练(入侵搜捕、户内报警、门岗暗访)每月一次。</w:t>
            </w:r>
          </w:p>
        </w:tc>
      </w:tr>
      <w:tr w14:paraId="2C104122">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C230D56">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D985B1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电梯困人演练：每季度一次，协同项目其他部门进行。</w:t>
            </w:r>
          </w:p>
        </w:tc>
      </w:tr>
      <w:tr w14:paraId="512FEE17">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501D495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0821AD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防汛演习：汛期来临前一次，协同项目其他部门进行。</w:t>
            </w:r>
          </w:p>
        </w:tc>
      </w:tr>
      <w:tr w14:paraId="50A41E40">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791562AC">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412BAB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火灾应急疏散演练：每半年一次，协同项目进行。</w:t>
            </w:r>
          </w:p>
        </w:tc>
      </w:tr>
      <w:tr w14:paraId="7DE8E7C0">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2F0F338C">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2CB837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门禁、监控、车管系统检查测试：每天一次，故障立即报事并跟进处理。</w:t>
            </w:r>
          </w:p>
        </w:tc>
      </w:tr>
      <w:tr w14:paraId="5D3F3337">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2F8E64DE">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4D2C2D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园区租赁户排查：每季度一次，项目主导，联系辖区政府职能部门参与，</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安排秩序员配合完成。</w:t>
            </w:r>
          </w:p>
        </w:tc>
      </w:tr>
      <w:tr w14:paraId="45F1F971">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70DB64F">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4C1625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园区公共部位巡查：（含园区、车库、外围等）按《大管家巡更管理制度》要求落实执行，确保园区无占道、无闲杂人员聚集。</w:t>
            </w:r>
          </w:p>
        </w:tc>
      </w:tr>
      <w:tr w14:paraId="1F480E74">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449AFF6A">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1D3AC3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园区消火栓、灭火器等巡检：每月一次全覆盖。要求记录填写完善，封条张贴规范，物资配备齐全（如有损坏遗失须立即上报</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进行配备）</w:t>
            </w:r>
          </w:p>
        </w:tc>
      </w:tr>
      <w:tr w14:paraId="043B94BC">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788614FC">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AB0473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园区消防巡查：每日不低于一次，确保各消防应急通道畅通率100%，各类火灾隐患及时发现，及时处置并记录。</w:t>
            </w:r>
          </w:p>
        </w:tc>
      </w:tr>
      <w:tr w14:paraId="797DB9C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587200BC">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5098BD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商铺夜间推门检查：每日1次全覆盖，测试率100%。</w:t>
            </w:r>
          </w:p>
        </w:tc>
      </w:tr>
      <w:tr w14:paraId="27B57D26">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6AA8000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C20450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商铺巡查（每日循环巡查）：确保无外摆，无占道，施工、经营规范，夜间“三关一闭”执行良好。</w:t>
            </w:r>
          </w:p>
        </w:tc>
      </w:tr>
      <w:tr w14:paraId="6586C25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129F660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FE28D4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班长督勤：白班不低于3次，夜班不低于4次。标准为所有秩序岗位全覆盖。</w:t>
            </w:r>
          </w:p>
        </w:tc>
      </w:tr>
      <w:tr w14:paraId="26CADC3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1CB37625">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84E4D3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中控室服务：24小时专人值守，所有报事接待及时，记录完整，信息传递及事件跟进无遗漏。所有报警接警后30秒内安排出警，并持续跟进出警情况直至事件完结。</w:t>
            </w:r>
          </w:p>
        </w:tc>
      </w:tr>
      <w:tr w14:paraId="57C09F48">
        <w:tblPrEx>
          <w:tblCellMar>
            <w:top w:w="0" w:type="dxa"/>
            <w:left w:w="108" w:type="dxa"/>
            <w:bottom w:w="0" w:type="dxa"/>
            <w:right w:w="108" w:type="dxa"/>
          </w:tblCellMar>
        </w:tblPrEx>
        <w:trPr>
          <w:trHeight w:val="285" w:hRule="atLeast"/>
        </w:trPr>
        <w:tc>
          <w:tcPr>
            <w:tcW w:w="1966" w:type="dxa"/>
            <w:tcBorders>
              <w:top w:val="nil"/>
              <w:left w:val="single" w:color="auto" w:sz="4" w:space="0"/>
              <w:bottom w:val="single" w:color="auto" w:sz="4" w:space="0"/>
              <w:right w:val="single" w:color="auto" w:sz="4" w:space="0"/>
            </w:tcBorders>
            <w:noWrap w:val="0"/>
            <w:vAlign w:val="center"/>
          </w:tcPr>
          <w:p w14:paraId="15F432B7">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其他要求及标准</w:t>
            </w:r>
          </w:p>
        </w:tc>
        <w:tc>
          <w:tcPr>
            <w:tcW w:w="7957" w:type="dxa"/>
            <w:tcBorders>
              <w:top w:val="nil"/>
              <w:left w:val="nil"/>
              <w:bottom w:val="single" w:color="auto" w:sz="4" w:space="0"/>
              <w:right w:val="single" w:color="auto" w:sz="4" w:space="0"/>
            </w:tcBorders>
            <w:noWrap w:val="0"/>
            <w:vAlign w:val="bottom"/>
          </w:tcPr>
          <w:p w14:paraId="6009343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派驻至</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的所有秩序岗位作业流程及标准须参照秩序专业作业体系执行。</w:t>
            </w:r>
          </w:p>
        </w:tc>
      </w:tr>
    </w:tbl>
    <w:p w14:paraId="210978A7">
      <w:pPr>
        <w:pStyle w:val="3"/>
        <w:adjustRightInd w:val="0"/>
        <w:spacing w:before="0" w:after="0" w:line="360" w:lineRule="auto"/>
        <w:ind w:firstLine="482"/>
        <w:rPr>
          <w:rFonts w:hint="eastAsia" w:ascii="仿宋" w:hAnsi="仿宋" w:eastAsia="仿宋" w:cs="仿宋"/>
          <w:sz w:val="24"/>
        </w:rPr>
      </w:pPr>
      <w:r>
        <w:rPr>
          <w:rFonts w:hint="eastAsia" w:ascii="仿宋" w:hAnsi="仿宋" w:eastAsia="仿宋" w:cs="仿宋"/>
          <w:sz w:val="24"/>
        </w:rPr>
        <w:t>※五、信用要求</w:t>
      </w:r>
    </w:p>
    <w:p w14:paraId="1F0EC5B5">
      <w:pPr>
        <w:rPr>
          <w:rFonts w:ascii="仿宋" w:hAnsi="仿宋" w:eastAsia="仿宋" w:cs="仿宋"/>
        </w:rPr>
      </w:pPr>
      <w:r>
        <w:rPr>
          <w:rFonts w:hint="eastAsia" w:ascii="仿宋" w:hAnsi="仿宋" w:eastAsia="仿宋" w:cs="仿宋"/>
          <w:lang w:val="en-US" w:eastAsia="zh-CN"/>
        </w:rPr>
        <w:t>竞选人承诺</w:t>
      </w:r>
      <w:r>
        <w:rPr>
          <w:rFonts w:hint="eastAsia" w:ascii="仿宋" w:hAnsi="仿宋" w:eastAsia="仿宋" w:cs="仿宋"/>
        </w:rPr>
        <w:t>不存在以下情形：</w:t>
      </w:r>
    </w:p>
    <w:p w14:paraId="40827D44">
      <w:pPr>
        <w:rPr>
          <w:rFonts w:hint="eastAsia" w:ascii="仿宋" w:hAnsi="仿宋" w:eastAsia="仿宋" w:cs="仿宋"/>
        </w:rPr>
      </w:pPr>
      <w:r>
        <w:rPr>
          <w:rFonts w:hint="eastAsia" w:ascii="仿宋" w:hAnsi="仿宋" w:eastAsia="仿宋" w:cs="仿宋"/>
        </w:rPr>
        <w:t xml:space="preserve">1、与比选人存在利害关系且可能影响采购活动公正性； </w:t>
      </w:r>
    </w:p>
    <w:p w14:paraId="103C24EF">
      <w:pPr>
        <w:rPr>
          <w:rFonts w:hint="eastAsia" w:ascii="仿宋" w:hAnsi="仿宋" w:eastAsia="仿宋" w:cs="仿宋"/>
        </w:rPr>
      </w:pPr>
      <w:r>
        <w:rPr>
          <w:rFonts w:hint="eastAsia" w:ascii="仿宋" w:hAnsi="仿宋" w:eastAsia="仿宋" w:cs="仿宋"/>
        </w:rPr>
        <w:t>2、与本比选项目的其他竞选人为同一个单位负责人；</w:t>
      </w:r>
    </w:p>
    <w:p w14:paraId="0F6751F8">
      <w:pPr>
        <w:rPr>
          <w:rFonts w:hint="eastAsia" w:ascii="仿宋" w:hAnsi="仿宋" w:eastAsia="仿宋" w:cs="仿宋"/>
        </w:rPr>
      </w:pPr>
      <w:r>
        <w:rPr>
          <w:rFonts w:hint="eastAsia" w:ascii="仿宋" w:hAnsi="仿宋" w:eastAsia="仿宋" w:cs="仿宋"/>
        </w:rPr>
        <w:t xml:space="preserve">3、与本比选项目的其他竞选人存在控股、管理关系； </w:t>
      </w:r>
    </w:p>
    <w:p w14:paraId="5BF31C15">
      <w:pPr>
        <w:rPr>
          <w:rFonts w:hint="eastAsia" w:ascii="仿宋" w:hAnsi="仿宋" w:eastAsia="仿宋" w:cs="仿宋"/>
        </w:rPr>
      </w:pPr>
      <w:r>
        <w:rPr>
          <w:rFonts w:hint="eastAsia" w:ascii="仿宋" w:hAnsi="仿宋" w:eastAsia="仿宋" w:cs="仿宋"/>
        </w:rPr>
        <w:t xml:space="preserve">4、被依法暂停或者取消投标资格； </w:t>
      </w:r>
    </w:p>
    <w:p w14:paraId="03CB4E23">
      <w:pPr>
        <w:rPr>
          <w:rFonts w:hint="eastAsia" w:ascii="仿宋" w:hAnsi="仿宋" w:eastAsia="仿宋" w:cs="仿宋"/>
        </w:rPr>
      </w:pPr>
      <w:r>
        <w:rPr>
          <w:rFonts w:hint="eastAsia" w:ascii="仿宋" w:hAnsi="仿宋" w:eastAsia="仿宋" w:cs="仿宋"/>
        </w:rPr>
        <w:t xml:space="preserve">5、2022年至今被责令停产停业、暂扣或者吊销许可证、暂扣或者吊销营业执照（或许可证）； </w:t>
      </w:r>
    </w:p>
    <w:p w14:paraId="1E72A041">
      <w:pPr>
        <w:rPr>
          <w:rFonts w:hint="eastAsia" w:ascii="仿宋" w:hAnsi="仿宋" w:eastAsia="仿宋" w:cs="仿宋"/>
        </w:rPr>
      </w:pPr>
      <w:r>
        <w:rPr>
          <w:rFonts w:hint="eastAsia" w:ascii="仿宋" w:hAnsi="仿宋" w:eastAsia="仿宋" w:cs="仿宋"/>
        </w:rPr>
        <w:t xml:space="preserve">6、2022年至今进入清算程序，或被宣告破产，或其他丧失履约能力的情形； </w:t>
      </w:r>
    </w:p>
    <w:p w14:paraId="74E13F7F">
      <w:pPr>
        <w:rPr>
          <w:rFonts w:hint="eastAsia" w:ascii="仿宋" w:hAnsi="仿宋" w:eastAsia="仿宋" w:cs="仿宋"/>
        </w:rPr>
      </w:pPr>
      <w:r>
        <w:rPr>
          <w:rFonts w:hint="eastAsia" w:ascii="仿宋" w:hAnsi="仿宋" w:eastAsia="仿宋" w:cs="仿宋"/>
        </w:rPr>
        <w:t xml:space="preserve">7、在最近三年内发生重大安全质量问题； </w:t>
      </w:r>
    </w:p>
    <w:p w14:paraId="025F7C63">
      <w:pPr>
        <w:rPr>
          <w:rFonts w:hint="eastAsia" w:ascii="仿宋" w:hAnsi="仿宋" w:eastAsia="仿宋" w:cs="仿宋"/>
        </w:rPr>
      </w:pPr>
      <w:r>
        <w:rPr>
          <w:rFonts w:hint="eastAsia" w:ascii="仿宋" w:hAnsi="仿宋" w:eastAsia="仿宋" w:cs="仿宋"/>
        </w:rPr>
        <w:t xml:space="preserve">8、在“信用中国”网站（www.creditchina.gov.cn）中失信被执行人名单或在“中国执行信息公开网” 被列入失信被执行人； </w:t>
      </w:r>
    </w:p>
    <w:p w14:paraId="143F062C">
      <w:pPr>
        <w:rPr>
          <w:rFonts w:hint="eastAsia" w:ascii="仿宋" w:hAnsi="仿宋" w:eastAsia="仿宋" w:cs="仿宋"/>
        </w:rPr>
      </w:pPr>
      <w:r>
        <w:rPr>
          <w:rFonts w:hint="eastAsia" w:ascii="仿宋" w:hAnsi="仿宋" w:eastAsia="仿宋" w:cs="仿宋"/>
        </w:rPr>
        <w:t>9、在国家企业信用信息公示系统（www.gsxt.gov.cn）中被列入经营异常名录、被列入严重违法失信企业名单；</w:t>
      </w:r>
    </w:p>
    <w:p w14:paraId="4F2D4863">
      <w:pPr>
        <w:rPr>
          <w:rFonts w:hint="eastAsia" w:ascii="仿宋" w:hAnsi="仿宋" w:eastAsia="仿宋" w:cs="仿宋"/>
        </w:rPr>
      </w:pPr>
      <w:r>
        <w:rPr>
          <w:rFonts w:hint="eastAsia" w:ascii="仿宋" w:hAnsi="仿宋" w:eastAsia="仿宋" w:cs="仿宋"/>
        </w:rPr>
        <w:t>10、在 2022 年 1 月 1 日至本项目竞选截止日期间，竞选人（单位）、法定代表人被人民法院生效判决或裁定认定为行贿犯罪。</w:t>
      </w:r>
    </w:p>
    <w:p w14:paraId="55198820">
      <w:pPr>
        <w:rPr>
          <w:rFonts w:hint="eastAsia" w:ascii="仿宋" w:hAnsi="仿宋" w:eastAsia="仿宋" w:cs="仿宋"/>
        </w:rPr>
      </w:pPr>
      <w:r>
        <w:rPr>
          <w:rFonts w:hint="eastAsia" w:ascii="仿宋" w:hAnsi="仿宋" w:eastAsia="仿宋" w:cs="仿宋"/>
        </w:rPr>
        <w:t>11、法律法规规定的其他情形。</w:t>
      </w:r>
    </w:p>
    <w:p w14:paraId="34042DFD">
      <w:pPr>
        <w:rPr>
          <w:rFonts w:hint="eastAsia" w:ascii="仿宋" w:hAnsi="仿宋" w:eastAsia="仿宋" w:cs="仿宋"/>
        </w:rPr>
      </w:pPr>
      <w:r>
        <w:rPr>
          <w:rFonts w:hint="eastAsia" w:ascii="仿宋" w:hAnsi="仿宋" w:eastAsia="仿宋" w:cs="仿宋"/>
          <w:b/>
          <w:bCs/>
          <w:sz w:val="28"/>
          <w:szCs w:val="28"/>
          <w:lang w:val="en-US" w:eastAsia="zh-CN"/>
        </w:rPr>
        <w:t>竞选人在竞选文件中</w:t>
      </w:r>
      <w:r>
        <w:rPr>
          <w:rFonts w:hint="eastAsia" w:ascii="仿宋" w:hAnsi="仿宋" w:eastAsia="仿宋" w:cs="仿宋"/>
          <w:b/>
          <w:bCs/>
          <w:sz w:val="28"/>
          <w:szCs w:val="28"/>
        </w:rPr>
        <w:t>提供承诺函</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格式自拟，</w:t>
      </w:r>
      <w:r>
        <w:rPr>
          <w:rFonts w:hint="eastAsia" w:ascii="仿宋" w:hAnsi="仿宋" w:eastAsia="仿宋" w:cs="仿宋"/>
          <w:b/>
          <w:bCs/>
          <w:sz w:val="28"/>
          <w:szCs w:val="28"/>
        </w:rPr>
        <w:t>并加盖竞选人单位公章</w:t>
      </w:r>
      <w:r>
        <w:rPr>
          <w:rFonts w:hint="eastAsia" w:ascii="仿宋" w:hAnsi="仿宋" w:eastAsia="仿宋" w:cs="仿宋"/>
          <w:b/>
          <w:bCs/>
          <w:sz w:val="28"/>
          <w:szCs w:val="28"/>
          <w:lang w:eastAsia="zh-CN"/>
        </w:rPr>
        <w:t>。</w:t>
      </w:r>
    </w:p>
    <w:p w14:paraId="18D33460">
      <w:pPr>
        <w:rPr>
          <w:rFonts w:hint="eastAsia" w:ascii="仿宋" w:hAnsi="仿宋" w:eastAsia="仿宋" w:cs="仿宋"/>
        </w:rPr>
      </w:pPr>
    </w:p>
    <w:p w14:paraId="526A4C6B">
      <w:pPr>
        <w:rPr>
          <w:rFonts w:hint="eastAsia" w:ascii="仿宋" w:hAnsi="仿宋" w:eastAsia="仿宋" w:cs="仿宋"/>
        </w:rPr>
      </w:pPr>
    </w:p>
    <w:p w14:paraId="1D71ABCC">
      <w:pPr>
        <w:rPr>
          <w:rFonts w:hint="eastAsia" w:ascii="仿宋" w:hAnsi="仿宋" w:eastAsia="仿宋" w:cs="仿宋"/>
        </w:rPr>
        <w:sectPr>
          <w:footerReference r:id="rId10" w:type="default"/>
          <w:footerReference r:id="rId11" w:type="even"/>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p>
    <w:p w14:paraId="09809122">
      <w:pPr>
        <w:pStyle w:val="3"/>
        <w:spacing w:before="0" w:after="0" w:line="360" w:lineRule="auto"/>
        <w:ind w:firstLine="0" w:firstLineChars="0"/>
        <w:jc w:val="center"/>
        <w:rPr>
          <w:rFonts w:hint="eastAsia" w:ascii="方正小标宋_GBK" w:hAnsi="宋体" w:eastAsia="方正小标宋_GBK"/>
          <w:sz w:val="36"/>
          <w:szCs w:val="30"/>
        </w:rPr>
      </w:pPr>
      <w:bookmarkStart w:id="30" w:name="_Toc76462327"/>
      <w:bookmarkStart w:id="31" w:name="_Toc20493"/>
      <w:r>
        <w:rPr>
          <w:rFonts w:hint="eastAsia" w:ascii="方正小标宋_GBK" w:hAnsi="宋体" w:eastAsia="方正小标宋_GBK"/>
          <w:sz w:val="36"/>
          <w:szCs w:val="30"/>
        </w:rPr>
        <w:t xml:space="preserve">第三篇  </w:t>
      </w:r>
      <w:bookmarkEnd w:id="27"/>
      <w:r>
        <w:rPr>
          <w:rFonts w:hint="eastAsia" w:ascii="方正小标宋_GBK" w:hAnsi="宋体" w:eastAsia="方正小标宋_GBK"/>
          <w:sz w:val="36"/>
          <w:szCs w:val="30"/>
        </w:rPr>
        <w:t>项目商务需求</w:t>
      </w:r>
      <w:bookmarkEnd w:id="30"/>
      <w:bookmarkEnd w:id="31"/>
    </w:p>
    <w:p w14:paraId="313E2EF7">
      <w:pPr>
        <w:pStyle w:val="34"/>
        <w:spacing w:line="400" w:lineRule="exact"/>
        <w:ind w:firstLine="480"/>
        <w:rPr>
          <w:rFonts w:hint="eastAsia" w:ascii="仿宋" w:hAnsi="仿宋" w:eastAsia="仿宋" w:cs="仿宋"/>
        </w:rPr>
      </w:pPr>
      <w:bookmarkStart w:id="32" w:name="_Toc76462328"/>
      <w:bookmarkStart w:id="33" w:name="_Toc344475120"/>
      <w:r>
        <w:rPr>
          <w:rFonts w:hint="eastAsia" w:ascii="仿宋" w:hAnsi="仿宋" w:eastAsia="仿宋" w:cs="仿宋"/>
        </w:rPr>
        <w:t>“※”标注的商务需求为符合性审查中的实质性要求，竞选文件若不满足按无效竞选处理。</w:t>
      </w:r>
    </w:p>
    <w:p w14:paraId="40EE335D">
      <w:pPr>
        <w:pStyle w:val="3"/>
        <w:adjustRightInd w:val="0"/>
        <w:spacing w:before="0" w:after="0" w:line="360" w:lineRule="auto"/>
        <w:ind w:firstLine="482"/>
        <w:rPr>
          <w:rFonts w:hint="eastAsia" w:ascii="仿宋" w:hAnsi="仿宋" w:eastAsia="仿宋" w:cs="仿宋"/>
          <w:sz w:val="24"/>
        </w:rPr>
      </w:pPr>
      <w:bookmarkStart w:id="34" w:name="_Toc16873"/>
      <w:r>
        <w:rPr>
          <w:rFonts w:hint="eastAsia" w:ascii="仿宋" w:hAnsi="仿宋" w:eastAsia="仿宋" w:cs="仿宋"/>
          <w:sz w:val="24"/>
        </w:rPr>
        <w:t>一、服务期、地点</w:t>
      </w:r>
      <w:bookmarkEnd w:id="32"/>
      <w:bookmarkEnd w:id="33"/>
      <w:bookmarkEnd w:id="34"/>
    </w:p>
    <w:p w14:paraId="2B41C301">
      <w:pPr>
        <w:pStyle w:val="34"/>
        <w:spacing w:line="360" w:lineRule="auto"/>
        <w:ind w:firstLine="480"/>
        <w:rPr>
          <w:rFonts w:hint="eastAsia" w:ascii="仿宋" w:hAnsi="仿宋" w:eastAsia="仿宋" w:cs="仿宋"/>
        </w:rPr>
      </w:pPr>
      <w:r>
        <w:rPr>
          <w:rFonts w:hint="eastAsia" w:ascii="仿宋" w:hAnsi="仿宋" w:eastAsia="仿宋" w:cs="仿宋"/>
        </w:rPr>
        <w:t>（一）服务期12个月</w:t>
      </w:r>
      <w:r>
        <w:rPr>
          <w:rFonts w:hint="eastAsia" w:ascii="方正仿宋_GBK" w:hAnsi="宋体" w:cs="宋体"/>
          <w:kern w:val="0"/>
          <w:sz w:val="21"/>
        </w:rPr>
        <w:t>（各服务地点服务时间以中选人入场时间起算）</w:t>
      </w:r>
      <w:r>
        <w:rPr>
          <w:rFonts w:hint="eastAsia" w:ascii="仿宋" w:hAnsi="仿宋" w:eastAsia="仿宋" w:cs="仿宋"/>
        </w:rPr>
        <w:t>。</w:t>
      </w:r>
    </w:p>
    <w:p w14:paraId="4DAE2587">
      <w:pPr>
        <w:spacing w:line="360" w:lineRule="auto"/>
        <w:rPr>
          <w:rFonts w:hint="eastAsia" w:ascii="仿宋" w:hAnsi="仿宋" w:eastAsia="仿宋" w:cs="仿宋"/>
        </w:rPr>
      </w:pPr>
      <w:r>
        <w:rPr>
          <w:rFonts w:hint="eastAsia" w:ascii="仿宋" w:hAnsi="仿宋" w:eastAsia="仿宋" w:cs="仿宋"/>
        </w:rPr>
        <w:t>（二）服务区域：英诺双创（</w:t>
      </w:r>
      <w:r>
        <w:rPr>
          <w:rFonts w:hint="eastAsia"/>
          <w:szCs w:val="21"/>
          <w:u w:val="single"/>
        </w:rPr>
        <w:t>重庆市九龙坡区华福大道北段66号</w:t>
      </w:r>
      <w:r>
        <w:rPr>
          <w:rFonts w:hint="eastAsia" w:ascii="仿宋" w:hAnsi="仿宋" w:eastAsia="仿宋" w:cs="仿宋"/>
        </w:rPr>
        <w:t>）、九龙坡区民政局婚姻登记处（</w:t>
      </w:r>
      <w:r>
        <w:rPr>
          <w:rFonts w:hint="eastAsia"/>
          <w:szCs w:val="21"/>
          <w:u w:val="single"/>
        </w:rPr>
        <w:t xml:space="preserve"> 重庆市九龙坡区彩云大道10号润璟广场3楼重庆市九龙坡区婚姻登记中心）</w:t>
      </w:r>
      <w:r>
        <w:rPr>
          <w:rFonts w:hint="eastAsia" w:ascii="仿宋" w:hAnsi="仿宋" w:eastAsia="仿宋" w:cs="仿宋"/>
        </w:rPr>
        <w:t>。</w:t>
      </w:r>
    </w:p>
    <w:p w14:paraId="514D0851">
      <w:pPr>
        <w:pStyle w:val="3"/>
        <w:adjustRightInd w:val="0"/>
        <w:spacing w:before="0" w:after="0" w:line="360" w:lineRule="auto"/>
        <w:ind w:firstLine="482"/>
        <w:rPr>
          <w:rFonts w:hint="eastAsia" w:ascii="仿宋" w:hAnsi="仿宋" w:eastAsia="仿宋" w:cs="仿宋"/>
          <w:sz w:val="24"/>
        </w:rPr>
      </w:pPr>
      <w:bookmarkStart w:id="35" w:name="_Toc76462329"/>
      <w:bookmarkStart w:id="36" w:name="_Toc30110"/>
      <w:bookmarkStart w:id="37" w:name="_Toc344475121"/>
      <w:r>
        <w:rPr>
          <w:rFonts w:hint="eastAsia" w:ascii="仿宋" w:hAnsi="仿宋" w:eastAsia="仿宋" w:cs="仿宋"/>
          <w:sz w:val="24"/>
        </w:rPr>
        <w:t>※二、</w:t>
      </w:r>
      <w:bookmarkEnd w:id="35"/>
      <w:bookmarkEnd w:id="36"/>
      <w:bookmarkEnd w:id="37"/>
      <w:r>
        <w:rPr>
          <w:rFonts w:hint="eastAsia" w:ascii="仿宋" w:hAnsi="仿宋" w:eastAsia="仿宋" w:cs="仿宋"/>
          <w:sz w:val="24"/>
        </w:rPr>
        <w:t>最高限价</w:t>
      </w:r>
    </w:p>
    <w:p w14:paraId="77CB4A33">
      <w:pPr>
        <w:rPr>
          <w:rFonts w:hint="eastAsia"/>
        </w:rPr>
      </w:pPr>
      <w:r>
        <w:rPr>
          <w:rFonts w:hint="eastAsia"/>
        </w:rPr>
        <w:t>本项目最高限价700868.4元</w:t>
      </w:r>
      <w:r>
        <w:rPr>
          <w:rFonts w:hint="eastAsia"/>
          <w:lang w:val="en-US" w:eastAsia="zh-CN"/>
        </w:rPr>
        <w:t>/年</w:t>
      </w:r>
      <w:r>
        <w:rPr>
          <w:rFonts w:hint="eastAsia"/>
        </w:rPr>
        <w:t>。具体情况详见下表</w:t>
      </w:r>
    </w:p>
    <w:tbl>
      <w:tblPr>
        <w:tblStyle w:val="58"/>
        <w:tblW w:w="10275" w:type="dxa"/>
        <w:tblInd w:w="-4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875"/>
        <w:gridCol w:w="765"/>
        <w:gridCol w:w="975"/>
        <w:gridCol w:w="1020"/>
        <w:gridCol w:w="1410"/>
        <w:gridCol w:w="1500"/>
        <w:gridCol w:w="2145"/>
      </w:tblGrid>
      <w:tr w14:paraId="548D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5" w:type="dxa"/>
            <w:gridSpan w:val="8"/>
            <w:noWrap w:val="0"/>
            <w:vAlign w:val="top"/>
          </w:tcPr>
          <w:p w14:paraId="6E8289E3">
            <w:pPr>
              <w:spacing w:line="240" w:lineRule="auto"/>
              <w:ind w:firstLine="0" w:firstLineChars="0"/>
              <w:jc w:val="center"/>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限价明细表</w:t>
            </w:r>
          </w:p>
        </w:tc>
      </w:tr>
      <w:tr w14:paraId="3ED2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restart"/>
            <w:noWrap w:val="0"/>
            <w:vAlign w:val="center"/>
          </w:tcPr>
          <w:p w14:paraId="4B7FD272">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序号</w:t>
            </w:r>
          </w:p>
        </w:tc>
        <w:tc>
          <w:tcPr>
            <w:tcW w:w="1875" w:type="dxa"/>
            <w:vMerge w:val="restart"/>
            <w:noWrap w:val="0"/>
            <w:vAlign w:val="center"/>
          </w:tcPr>
          <w:p w14:paraId="3AA0B419">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服务地点</w:t>
            </w:r>
          </w:p>
        </w:tc>
        <w:tc>
          <w:tcPr>
            <w:tcW w:w="2760" w:type="dxa"/>
            <w:gridSpan w:val="3"/>
            <w:noWrap w:val="0"/>
            <w:vAlign w:val="center"/>
          </w:tcPr>
          <w:p w14:paraId="48095856">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需求人数（含替休）</w:t>
            </w:r>
          </w:p>
        </w:tc>
        <w:tc>
          <w:tcPr>
            <w:tcW w:w="1410" w:type="dxa"/>
            <w:vMerge w:val="restart"/>
            <w:noWrap w:val="0"/>
            <w:vAlign w:val="center"/>
          </w:tcPr>
          <w:p w14:paraId="6BF83088">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单价控制价（元/月）</w:t>
            </w:r>
          </w:p>
        </w:tc>
        <w:tc>
          <w:tcPr>
            <w:tcW w:w="1500" w:type="dxa"/>
            <w:vMerge w:val="restart"/>
            <w:noWrap w:val="0"/>
            <w:vAlign w:val="center"/>
          </w:tcPr>
          <w:p w14:paraId="479CA47A">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年度控制价（元/年）</w:t>
            </w:r>
          </w:p>
        </w:tc>
        <w:tc>
          <w:tcPr>
            <w:tcW w:w="2145" w:type="dxa"/>
            <w:vMerge w:val="restart"/>
            <w:noWrap w:val="0"/>
            <w:vAlign w:val="center"/>
          </w:tcPr>
          <w:p w14:paraId="02D53F8F">
            <w:pPr>
              <w:spacing w:line="240" w:lineRule="auto"/>
              <w:ind w:firstLine="0" w:firstLineChars="0"/>
              <w:jc w:val="center"/>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备注</w:t>
            </w:r>
          </w:p>
        </w:tc>
      </w:tr>
      <w:tr w14:paraId="6017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85" w:type="dxa"/>
            <w:vMerge w:val="continue"/>
            <w:noWrap w:val="0"/>
            <w:vAlign w:val="top"/>
          </w:tcPr>
          <w:p w14:paraId="60B9375B">
            <w:pPr>
              <w:spacing w:line="240" w:lineRule="auto"/>
              <w:ind w:firstLine="0" w:firstLineChars="0"/>
              <w:rPr>
                <w:rFonts w:hint="eastAsia" w:ascii="仿宋" w:hAnsi="仿宋" w:eastAsia="仿宋" w:cs="仿宋"/>
              </w:rPr>
            </w:pPr>
          </w:p>
        </w:tc>
        <w:tc>
          <w:tcPr>
            <w:tcW w:w="1875" w:type="dxa"/>
            <w:vMerge w:val="continue"/>
            <w:noWrap w:val="0"/>
            <w:vAlign w:val="center"/>
          </w:tcPr>
          <w:p w14:paraId="31DAB223">
            <w:pPr>
              <w:spacing w:line="240" w:lineRule="auto"/>
              <w:ind w:firstLine="0" w:firstLineChars="0"/>
              <w:jc w:val="center"/>
              <w:rPr>
                <w:rFonts w:hint="eastAsia" w:ascii="仿宋" w:hAnsi="仿宋" w:eastAsia="仿宋" w:cs="仿宋"/>
              </w:rPr>
            </w:pPr>
          </w:p>
        </w:tc>
        <w:tc>
          <w:tcPr>
            <w:tcW w:w="765" w:type="dxa"/>
            <w:noWrap w:val="0"/>
            <w:vAlign w:val="center"/>
          </w:tcPr>
          <w:p w14:paraId="3A5F8B97">
            <w:pPr>
              <w:widowControl/>
              <w:spacing w:line="240" w:lineRule="auto"/>
              <w:ind w:firstLine="0" w:firstLineChars="0"/>
              <w:jc w:val="center"/>
              <w:textAlignment w:val="center"/>
              <w:rPr>
                <w:rFonts w:hint="eastAsia" w:ascii="仿宋" w:hAnsi="仿宋" w:eastAsia="仿宋" w:cs="仿宋"/>
                <w:b/>
                <w:bCs/>
                <w:color w:val="000000"/>
                <w:sz w:val="22"/>
                <w:szCs w:val="22"/>
              </w:rPr>
            </w:pPr>
            <w:r>
              <w:rPr>
                <w:rFonts w:hint="eastAsia" w:ascii="仿宋" w:hAnsi="仿宋" w:eastAsia="仿宋" w:cs="仿宋"/>
                <w:b/>
                <w:bCs/>
                <w:color w:val="000000"/>
                <w:kern w:val="0"/>
                <w:sz w:val="22"/>
                <w:lang w:bidi="ar"/>
              </w:rPr>
              <w:t>秩序员</w:t>
            </w:r>
          </w:p>
        </w:tc>
        <w:tc>
          <w:tcPr>
            <w:tcW w:w="975" w:type="dxa"/>
            <w:noWrap w:val="0"/>
            <w:vAlign w:val="center"/>
          </w:tcPr>
          <w:p w14:paraId="2ED1B6FC">
            <w:pPr>
              <w:widowControl/>
              <w:spacing w:line="240" w:lineRule="auto"/>
              <w:ind w:firstLine="0" w:firstLineChars="0"/>
              <w:jc w:val="center"/>
              <w:textAlignment w:val="center"/>
              <w:rPr>
                <w:rFonts w:hint="eastAsia" w:ascii="仿宋" w:hAnsi="仿宋" w:eastAsia="仿宋" w:cs="仿宋"/>
                <w:b/>
                <w:bCs/>
                <w:color w:val="000000"/>
                <w:sz w:val="22"/>
                <w:szCs w:val="22"/>
              </w:rPr>
            </w:pPr>
            <w:r>
              <w:rPr>
                <w:rFonts w:hint="eastAsia" w:ascii="仿宋" w:hAnsi="仿宋" w:eastAsia="仿宋" w:cs="仿宋"/>
                <w:b/>
                <w:bCs/>
                <w:sz w:val="22"/>
                <w:szCs w:val="22"/>
                <w:lang w:bidi="ar"/>
              </w:rPr>
              <w:t>安全综合主管</w:t>
            </w:r>
          </w:p>
        </w:tc>
        <w:tc>
          <w:tcPr>
            <w:tcW w:w="1020" w:type="dxa"/>
            <w:noWrap w:val="0"/>
            <w:vAlign w:val="center"/>
          </w:tcPr>
          <w:p w14:paraId="7D615782">
            <w:pPr>
              <w:widowControl/>
              <w:spacing w:line="240" w:lineRule="auto"/>
              <w:ind w:firstLine="0" w:firstLineChars="0"/>
              <w:jc w:val="center"/>
              <w:textAlignment w:val="center"/>
              <w:rPr>
                <w:rFonts w:hint="eastAsia" w:ascii="仿宋" w:hAnsi="仿宋" w:eastAsia="仿宋" w:cs="仿宋"/>
                <w:b/>
                <w:bCs/>
                <w:color w:val="000000"/>
                <w:sz w:val="22"/>
                <w:szCs w:val="22"/>
              </w:rPr>
            </w:pPr>
            <w:r>
              <w:rPr>
                <w:rFonts w:hint="eastAsia" w:ascii="仿宋" w:hAnsi="仿宋" w:eastAsia="仿宋" w:cs="仿宋"/>
                <w:b/>
                <w:bCs/>
                <w:color w:val="000000"/>
                <w:kern w:val="0"/>
                <w:sz w:val="22"/>
                <w:lang w:bidi="ar"/>
              </w:rPr>
              <w:t>合计（人）</w:t>
            </w:r>
          </w:p>
        </w:tc>
        <w:tc>
          <w:tcPr>
            <w:tcW w:w="1410" w:type="dxa"/>
            <w:vMerge w:val="continue"/>
            <w:noWrap w:val="0"/>
            <w:vAlign w:val="top"/>
          </w:tcPr>
          <w:p w14:paraId="6FB2E0A7">
            <w:pPr>
              <w:spacing w:line="240" w:lineRule="auto"/>
              <w:ind w:firstLine="0" w:firstLineChars="0"/>
              <w:rPr>
                <w:rFonts w:hint="eastAsia" w:ascii="仿宋" w:hAnsi="仿宋" w:eastAsia="仿宋" w:cs="仿宋"/>
              </w:rPr>
            </w:pPr>
          </w:p>
        </w:tc>
        <w:tc>
          <w:tcPr>
            <w:tcW w:w="1500" w:type="dxa"/>
            <w:vMerge w:val="continue"/>
            <w:noWrap w:val="0"/>
            <w:vAlign w:val="top"/>
          </w:tcPr>
          <w:p w14:paraId="70ACC7D8">
            <w:pPr>
              <w:spacing w:line="240" w:lineRule="auto"/>
              <w:ind w:firstLine="0" w:firstLineChars="0"/>
              <w:rPr>
                <w:rFonts w:hint="eastAsia" w:ascii="仿宋" w:hAnsi="仿宋" w:eastAsia="仿宋" w:cs="仿宋"/>
              </w:rPr>
            </w:pPr>
          </w:p>
        </w:tc>
        <w:tc>
          <w:tcPr>
            <w:tcW w:w="2145" w:type="dxa"/>
            <w:vMerge w:val="continue"/>
            <w:noWrap w:val="0"/>
            <w:vAlign w:val="top"/>
          </w:tcPr>
          <w:p w14:paraId="0C5F2B8B">
            <w:pPr>
              <w:spacing w:line="240" w:lineRule="auto"/>
              <w:ind w:firstLine="0" w:firstLineChars="0"/>
              <w:rPr>
                <w:rFonts w:hint="eastAsia" w:ascii="仿宋" w:hAnsi="仿宋" w:eastAsia="仿宋" w:cs="仿宋"/>
              </w:rPr>
            </w:pPr>
          </w:p>
        </w:tc>
      </w:tr>
      <w:tr w14:paraId="54A7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5" w:type="dxa"/>
            <w:noWrap w:val="0"/>
            <w:vAlign w:val="center"/>
          </w:tcPr>
          <w:p w14:paraId="433B5DE1">
            <w:pPr>
              <w:spacing w:line="240" w:lineRule="auto"/>
              <w:ind w:firstLine="0" w:firstLineChars="0"/>
              <w:jc w:val="center"/>
              <w:rPr>
                <w:rFonts w:hint="eastAsia" w:ascii="仿宋" w:hAnsi="仿宋" w:eastAsia="仿宋" w:cs="仿宋"/>
              </w:rPr>
            </w:pPr>
            <w:r>
              <w:rPr>
                <w:rFonts w:hint="eastAsia" w:ascii="仿宋" w:hAnsi="仿宋" w:eastAsia="仿宋" w:cs="仿宋"/>
              </w:rPr>
              <w:t>1</w:t>
            </w:r>
          </w:p>
        </w:tc>
        <w:tc>
          <w:tcPr>
            <w:tcW w:w="1875" w:type="dxa"/>
            <w:noWrap w:val="0"/>
            <w:vAlign w:val="center"/>
          </w:tcPr>
          <w:p w14:paraId="436506B3">
            <w:pPr>
              <w:spacing w:line="240" w:lineRule="auto"/>
              <w:ind w:firstLine="0" w:firstLineChars="0"/>
              <w:jc w:val="center"/>
              <w:rPr>
                <w:rFonts w:hint="eastAsia" w:ascii="仿宋" w:hAnsi="仿宋" w:eastAsia="仿宋" w:cs="仿宋"/>
              </w:rPr>
            </w:pPr>
            <w:r>
              <w:rPr>
                <w:rFonts w:hint="eastAsia" w:ascii="仿宋" w:hAnsi="仿宋" w:eastAsia="仿宋" w:cs="仿宋"/>
                <w:sz w:val="21"/>
                <w:szCs w:val="21"/>
              </w:rPr>
              <w:t>英诺双创</w:t>
            </w:r>
          </w:p>
        </w:tc>
        <w:tc>
          <w:tcPr>
            <w:tcW w:w="765" w:type="dxa"/>
            <w:noWrap w:val="0"/>
            <w:vAlign w:val="center"/>
          </w:tcPr>
          <w:p w14:paraId="3CB96C4B">
            <w:pPr>
              <w:spacing w:line="240" w:lineRule="auto"/>
              <w:ind w:firstLine="0" w:firstLineChars="0"/>
              <w:jc w:val="center"/>
              <w:rPr>
                <w:rFonts w:hint="eastAsia" w:ascii="仿宋" w:hAnsi="仿宋" w:eastAsia="仿宋" w:cs="仿宋"/>
              </w:rPr>
            </w:pPr>
            <w:r>
              <w:rPr>
                <w:rFonts w:hint="eastAsia" w:ascii="仿宋" w:hAnsi="仿宋" w:eastAsia="仿宋" w:cs="仿宋"/>
              </w:rPr>
              <w:t>8</w:t>
            </w:r>
          </w:p>
        </w:tc>
        <w:tc>
          <w:tcPr>
            <w:tcW w:w="975" w:type="dxa"/>
            <w:noWrap w:val="0"/>
            <w:vAlign w:val="center"/>
          </w:tcPr>
          <w:p w14:paraId="162D4617">
            <w:pPr>
              <w:spacing w:line="240" w:lineRule="auto"/>
              <w:ind w:firstLine="0" w:firstLineChars="0"/>
              <w:jc w:val="center"/>
              <w:rPr>
                <w:rFonts w:hint="eastAsia" w:ascii="仿宋" w:hAnsi="仿宋" w:eastAsia="仿宋" w:cs="仿宋"/>
              </w:rPr>
            </w:pPr>
            <w:r>
              <w:rPr>
                <w:rFonts w:hint="eastAsia" w:ascii="仿宋" w:hAnsi="仿宋" w:eastAsia="仿宋" w:cs="仿宋"/>
              </w:rPr>
              <w:t>1</w:t>
            </w:r>
          </w:p>
        </w:tc>
        <w:tc>
          <w:tcPr>
            <w:tcW w:w="1020" w:type="dxa"/>
            <w:noWrap w:val="0"/>
            <w:vAlign w:val="center"/>
          </w:tcPr>
          <w:p w14:paraId="3BEE6C17">
            <w:pPr>
              <w:spacing w:line="240" w:lineRule="auto"/>
              <w:ind w:firstLine="0" w:firstLineChars="0"/>
              <w:jc w:val="center"/>
              <w:rPr>
                <w:rFonts w:hint="eastAsia" w:ascii="仿宋" w:hAnsi="仿宋" w:eastAsia="仿宋" w:cs="仿宋"/>
              </w:rPr>
            </w:pPr>
            <w:r>
              <w:rPr>
                <w:rFonts w:hint="eastAsia" w:ascii="仿宋" w:hAnsi="仿宋" w:eastAsia="仿宋" w:cs="仿宋"/>
                <w:szCs w:val="21"/>
              </w:rPr>
              <w:t>9</w:t>
            </w:r>
          </w:p>
        </w:tc>
        <w:tc>
          <w:tcPr>
            <w:tcW w:w="1410" w:type="dxa"/>
            <w:noWrap w:val="0"/>
            <w:vAlign w:val="center"/>
          </w:tcPr>
          <w:p w14:paraId="32BA8DA9">
            <w:pPr>
              <w:widowControl/>
              <w:spacing w:line="240" w:lineRule="auto"/>
              <w:ind w:firstLine="0" w:firstLineChars="0"/>
              <w:jc w:val="center"/>
              <w:textAlignment w:val="center"/>
              <w:rPr>
                <w:rFonts w:hint="eastAsia" w:ascii="仿宋" w:hAnsi="仿宋" w:eastAsia="仿宋" w:cs="仿宋"/>
              </w:rPr>
            </w:pPr>
            <w:r>
              <w:rPr>
                <w:rFonts w:hint="eastAsia" w:ascii="仿宋" w:hAnsi="仿宋" w:eastAsia="仿宋" w:cs="仿宋"/>
                <w:color w:val="000000"/>
                <w:kern w:val="0"/>
                <w:sz w:val="21"/>
                <w:szCs w:val="21"/>
                <w:lang w:bidi="ar"/>
              </w:rPr>
              <w:t>54245.25</w:t>
            </w:r>
          </w:p>
        </w:tc>
        <w:tc>
          <w:tcPr>
            <w:tcW w:w="1500" w:type="dxa"/>
            <w:noWrap w:val="0"/>
            <w:vAlign w:val="center"/>
          </w:tcPr>
          <w:p w14:paraId="3223805B">
            <w:pPr>
              <w:widowControl/>
              <w:spacing w:line="240" w:lineRule="auto"/>
              <w:ind w:firstLine="0" w:firstLineChars="0"/>
              <w:jc w:val="center"/>
              <w:textAlignment w:val="center"/>
              <w:rPr>
                <w:rFonts w:hint="eastAsia" w:ascii="仿宋" w:hAnsi="仿宋" w:eastAsia="仿宋" w:cs="仿宋"/>
              </w:rPr>
            </w:pPr>
            <w:r>
              <w:rPr>
                <w:rFonts w:hint="eastAsia" w:ascii="仿宋" w:hAnsi="仿宋" w:eastAsia="仿宋" w:cs="仿宋"/>
                <w:color w:val="000000"/>
                <w:kern w:val="0"/>
                <w:sz w:val="21"/>
                <w:szCs w:val="21"/>
                <w:lang w:bidi="ar"/>
              </w:rPr>
              <w:t>650943</w:t>
            </w:r>
          </w:p>
        </w:tc>
        <w:tc>
          <w:tcPr>
            <w:tcW w:w="2145" w:type="dxa"/>
            <w:noWrap w:val="0"/>
            <w:vAlign w:val="center"/>
          </w:tcPr>
          <w:p w14:paraId="0C52B60E">
            <w:pPr>
              <w:spacing w:line="240" w:lineRule="auto"/>
              <w:ind w:firstLine="0" w:firstLineChars="0"/>
              <w:jc w:val="center"/>
              <w:rPr>
                <w:rFonts w:hint="eastAsia" w:ascii="仿宋" w:hAnsi="仿宋" w:eastAsia="仿宋" w:cs="仿宋"/>
              </w:rPr>
            </w:pPr>
            <w:r>
              <w:rPr>
                <w:rFonts w:hint="eastAsia" w:ascii="仿宋" w:hAnsi="仿宋" w:eastAsia="仿宋" w:cs="仿宋"/>
              </w:rPr>
              <w:t>如有人员调整，据实结算</w:t>
            </w:r>
          </w:p>
        </w:tc>
      </w:tr>
      <w:tr w14:paraId="14D0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5" w:type="dxa"/>
            <w:noWrap w:val="0"/>
            <w:vAlign w:val="center"/>
          </w:tcPr>
          <w:p w14:paraId="7DEF21D7">
            <w:pPr>
              <w:spacing w:line="240" w:lineRule="auto"/>
              <w:ind w:firstLine="0" w:firstLineChars="0"/>
              <w:jc w:val="center"/>
              <w:rPr>
                <w:rFonts w:hint="eastAsia" w:ascii="仿宋" w:hAnsi="仿宋" w:eastAsia="仿宋" w:cs="仿宋"/>
              </w:rPr>
            </w:pPr>
            <w:r>
              <w:rPr>
                <w:rFonts w:hint="eastAsia" w:ascii="仿宋" w:hAnsi="仿宋" w:eastAsia="仿宋" w:cs="仿宋"/>
              </w:rPr>
              <w:t>2</w:t>
            </w:r>
          </w:p>
        </w:tc>
        <w:tc>
          <w:tcPr>
            <w:tcW w:w="1875" w:type="dxa"/>
            <w:noWrap w:val="0"/>
            <w:vAlign w:val="center"/>
          </w:tcPr>
          <w:p w14:paraId="3E4D84B3">
            <w:pPr>
              <w:spacing w:line="240" w:lineRule="auto"/>
              <w:ind w:firstLine="0" w:firstLineChars="0"/>
              <w:jc w:val="center"/>
              <w:rPr>
                <w:rFonts w:hint="eastAsia" w:ascii="仿宋" w:hAnsi="仿宋" w:eastAsia="仿宋" w:cs="仿宋"/>
              </w:rPr>
            </w:pPr>
            <w:r>
              <w:rPr>
                <w:rFonts w:hint="eastAsia" w:ascii="仿宋" w:hAnsi="仿宋" w:eastAsia="仿宋" w:cs="仿宋"/>
                <w:color w:val="000000"/>
                <w:kern w:val="0"/>
                <w:sz w:val="21"/>
                <w:szCs w:val="21"/>
                <w:lang w:bidi="ar"/>
              </w:rPr>
              <w:t>九龙坡区民政局婚姻登记处</w:t>
            </w:r>
          </w:p>
        </w:tc>
        <w:tc>
          <w:tcPr>
            <w:tcW w:w="765" w:type="dxa"/>
            <w:noWrap w:val="0"/>
            <w:vAlign w:val="center"/>
          </w:tcPr>
          <w:p w14:paraId="65B9EE1C">
            <w:pPr>
              <w:spacing w:line="240" w:lineRule="auto"/>
              <w:ind w:firstLine="0" w:firstLineChars="0"/>
              <w:jc w:val="center"/>
              <w:rPr>
                <w:rFonts w:hint="eastAsia" w:ascii="仿宋" w:hAnsi="仿宋" w:eastAsia="仿宋" w:cs="仿宋"/>
              </w:rPr>
            </w:pPr>
            <w:r>
              <w:rPr>
                <w:rFonts w:hint="eastAsia" w:ascii="仿宋" w:hAnsi="仿宋" w:eastAsia="仿宋" w:cs="仿宋"/>
                <w:szCs w:val="21"/>
              </w:rPr>
              <w:t>1</w:t>
            </w:r>
          </w:p>
        </w:tc>
        <w:tc>
          <w:tcPr>
            <w:tcW w:w="975" w:type="dxa"/>
            <w:noWrap w:val="0"/>
            <w:vAlign w:val="center"/>
          </w:tcPr>
          <w:p w14:paraId="3E5EC23D">
            <w:pPr>
              <w:spacing w:line="240" w:lineRule="auto"/>
              <w:ind w:firstLine="0" w:firstLineChars="0"/>
              <w:jc w:val="center"/>
              <w:rPr>
                <w:rFonts w:hint="eastAsia" w:ascii="仿宋" w:hAnsi="仿宋" w:eastAsia="仿宋" w:cs="仿宋"/>
              </w:rPr>
            </w:pPr>
            <w:r>
              <w:rPr>
                <w:rFonts w:hint="eastAsia" w:ascii="仿宋" w:hAnsi="仿宋" w:eastAsia="仿宋" w:cs="仿宋"/>
              </w:rPr>
              <w:t>0</w:t>
            </w:r>
          </w:p>
        </w:tc>
        <w:tc>
          <w:tcPr>
            <w:tcW w:w="1020" w:type="dxa"/>
            <w:noWrap w:val="0"/>
            <w:vAlign w:val="center"/>
          </w:tcPr>
          <w:p w14:paraId="3058AE43">
            <w:pPr>
              <w:spacing w:line="240" w:lineRule="auto"/>
              <w:ind w:firstLine="0" w:firstLineChars="0"/>
              <w:jc w:val="center"/>
              <w:rPr>
                <w:rFonts w:hint="eastAsia" w:ascii="仿宋" w:hAnsi="仿宋" w:eastAsia="仿宋" w:cs="仿宋"/>
              </w:rPr>
            </w:pPr>
            <w:r>
              <w:rPr>
                <w:rFonts w:hint="eastAsia" w:ascii="仿宋" w:hAnsi="仿宋" w:eastAsia="仿宋" w:cs="仿宋"/>
                <w:szCs w:val="21"/>
              </w:rPr>
              <w:t>1</w:t>
            </w:r>
          </w:p>
        </w:tc>
        <w:tc>
          <w:tcPr>
            <w:tcW w:w="1410" w:type="dxa"/>
            <w:noWrap w:val="0"/>
            <w:vAlign w:val="center"/>
          </w:tcPr>
          <w:p w14:paraId="41CB2860">
            <w:pPr>
              <w:widowControl/>
              <w:spacing w:line="240" w:lineRule="auto"/>
              <w:ind w:firstLine="0" w:firstLineChars="0"/>
              <w:jc w:val="center"/>
              <w:textAlignment w:val="center"/>
              <w:rPr>
                <w:rFonts w:hint="eastAsia" w:ascii="仿宋" w:hAnsi="仿宋" w:eastAsia="仿宋" w:cs="仿宋"/>
              </w:rPr>
            </w:pPr>
            <w:r>
              <w:rPr>
                <w:rFonts w:hint="eastAsia" w:ascii="仿宋" w:hAnsi="仿宋" w:eastAsia="仿宋" w:cs="仿宋"/>
                <w:color w:val="000000"/>
                <w:kern w:val="0"/>
                <w:sz w:val="21"/>
                <w:szCs w:val="21"/>
                <w:lang w:bidi="ar"/>
              </w:rPr>
              <w:t>4160.45</w:t>
            </w:r>
          </w:p>
        </w:tc>
        <w:tc>
          <w:tcPr>
            <w:tcW w:w="1500" w:type="dxa"/>
            <w:noWrap w:val="0"/>
            <w:vAlign w:val="center"/>
          </w:tcPr>
          <w:p w14:paraId="1B2DFE18">
            <w:pPr>
              <w:widowControl/>
              <w:spacing w:line="240" w:lineRule="auto"/>
              <w:ind w:firstLine="0" w:firstLineChars="0"/>
              <w:jc w:val="center"/>
              <w:textAlignment w:val="center"/>
              <w:rPr>
                <w:rFonts w:hint="eastAsia" w:ascii="仿宋" w:hAnsi="仿宋" w:eastAsia="仿宋" w:cs="仿宋"/>
              </w:rPr>
            </w:pPr>
            <w:r>
              <w:rPr>
                <w:rFonts w:hint="eastAsia" w:ascii="仿宋" w:hAnsi="仿宋" w:eastAsia="仿宋" w:cs="仿宋"/>
                <w:color w:val="000000"/>
                <w:kern w:val="0"/>
                <w:sz w:val="21"/>
                <w:szCs w:val="21"/>
                <w:lang w:bidi="ar"/>
              </w:rPr>
              <w:t>49925.4</w:t>
            </w:r>
          </w:p>
        </w:tc>
        <w:tc>
          <w:tcPr>
            <w:tcW w:w="2145" w:type="dxa"/>
            <w:noWrap w:val="0"/>
            <w:vAlign w:val="center"/>
          </w:tcPr>
          <w:p w14:paraId="2A2F4DF4">
            <w:pPr>
              <w:spacing w:line="240" w:lineRule="auto"/>
              <w:ind w:firstLine="0" w:firstLineChars="0"/>
              <w:jc w:val="center"/>
              <w:rPr>
                <w:rFonts w:hint="eastAsia" w:ascii="仿宋" w:hAnsi="仿宋" w:eastAsia="仿宋" w:cs="仿宋"/>
              </w:rPr>
            </w:pPr>
            <w:r>
              <w:rPr>
                <w:rFonts w:hint="eastAsia" w:ascii="仿宋" w:hAnsi="仿宋" w:eastAsia="仿宋" w:cs="仿宋"/>
              </w:rPr>
              <w:t>如有人员调整，据实结算</w:t>
            </w:r>
          </w:p>
        </w:tc>
      </w:tr>
      <w:tr w14:paraId="384A0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460" w:type="dxa"/>
            <w:gridSpan w:val="2"/>
            <w:noWrap w:val="0"/>
            <w:vAlign w:val="center"/>
          </w:tcPr>
          <w:p w14:paraId="14D8C58C">
            <w:pPr>
              <w:spacing w:line="240" w:lineRule="auto"/>
              <w:ind w:firstLine="0" w:firstLineChars="0"/>
              <w:jc w:val="center"/>
              <w:rPr>
                <w:rFonts w:hint="eastAsia" w:ascii="仿宋" w:hAnsi="仿宋" w:eastAsia="仿宋" w:cs="仿宋"/>
              </w:rPr>
            </w:pPr>
            <w:r>
              <w:rPr>
                <w:rFonts w:hint="eastAsia" w:ascii="仿宋" w:hAnsi="仿宋" w:eastAsia="仿宋" w:cs="仿宋"/>
              </w:rPr>
              <w:t>小计</w:t>
            </w:r>
          </w:p>
        </w:tc>
        <w:tc>
          <w:tcPr>
            <w:tcW w:w="765" w:type="dxa"/>
            <w:noWrap w:val="0"/>
            <w:vAlign w:val="center"/>
          </w:tcPr>
          <w:p w14:paraId="55FDB661">
            <w:pPr>
              <w:spacing w:line="240" w:lineRule="auto"/>
              <w:ind w:firstLine="0" w:firstLineChars="0"/>
              <w:jc w:val="center"/>
              <w:rPr>
                <w:rFonts w:hint="eastAsia" w:ascii="仿宋" w:hAnsi="仿宋" w:eastAsia="仿宋" w:cs="仿宋"/>
              </w:rPr>
            </w:pPr>
            <w:r>
              <w:rPr>
                <w:rFonts w:hint="eastAsia" w:ascii="仿宋" w:hAnsi="仿宋" w:eastAsia="仿宋" w:cs="仿宋"/>
              </w:rPr>
              <w:t>9</w:t>
            </w:r>
          </w:p>
        </w:tc>
        <w:tc>
          <w:tcPr>
            <w:tcW w:w="975" w:type="dxa"/>
            <w:noWrap w:val="0"/>
            <w:vAlign w:val="center"/>
          </w:tcPr>
          <w:p w14:paraId="6C4103F3">
            <w:pPr>
              <w:spacing w:line="240" w:lineRule="auto"/>
              <w:ind w:firstLine="0" w:firstLineChars="0"/>
              <w:jc w:val="center"/>
              <w:rPr>
                <w:rFonts w:hint="eastAsia" w:ascii="仿宋" w:hAnsi="仿宋" w:eastAsia="仿宋" w:cs="仿宋"/>
              </w:rPr>
            </w:pPr>
            <w:r>
              <w:rPr>
                <w:rFonts w:hint="eastAsia" w:ascii="仿宋" w:hAnsi="仿宋" w:eastAsia="仿宋" w:cs="仿宋"/>
              </w:rPr>
              <w:t>1</w:t>
            </w:r>
          </w:p>
        </w:tc>
        <w:tc>
          <w:tcPr>
            <w:tcW w:w="1020" w:type="dxa"/>
            <w:noWrap w:val="0"/>
            <w:vAlign w:val="center"/>
          </w:tcPr>
          <w:p w14:paraId="193D1BF1">
            <w:pPr>
              <w:spacing w:line="240" w:lineRule="auto"/>
              <w:ind w:firstLine="0" w:firstLineChars="0"/>
              <w:jc w:val="center"/>
              <w:rPr>
                <w:rFonts w:hint="eastAsia" w:ascii="仿宋" w:hAnsi="仿宋" w:eastAsia="仿宋" w:cs="仿宋"/>
              </w:rPr>
            </w:pPr>
            <w:r>
              <w:rPr>
                <w:rFonts w:hint="eastAsia" w:ascii="仿宋" w:hAnsi="仿宋" w:eastAsia="仿宋" w:cs="仿宋"/>
              </w:rPr>
              <w:t>10</w:t>
            </w:r>
          </w:p>
        </w:tc>
        <w:tc>
          <w:tcPr>
            <w:tcW w:w="1410" w:type="dxa"/>
            <w:noWrap w:val="0"/>
            <w:vAlign w:val="center"/>
          </w:tcPr>
          <w:p w14:paraId="6AEC41E6">
            <w:pPr>
              <w:widowControl/>
              <w:spacing w:line="240" w:lineRule="auto"/>
              <w:ind w:firstLine="0" w:firstLineChars="0"/>
              <w:jc w:val="center"/>
              <w:textAlignment w:val="center"/>
              <w:rPr>
                <w:rFonts w:hint="eastAsia" w:ascii="仿宋" w:hAnsi="仿宋" w:eastAsia="仿宋" w:cs="仿宋"/>
              </w:rPr>
            </w:pPr>
            <w:r>
              <w:rPr>
                <w:rFonts w:hint="eastAsia" w:ascii="仿宋" w:hAnsi="仿宋" w:eastAsia="仿宋" w:cs="仿宋"/>
                <w:b/>
                <w:bCs/>
                <w:color w:val="000000"/>
                <w:kern w:val="0"/>
                <w:sz w:val="21"/>
                <w:szCs w:val="21"/>
                <w:lang w:bidi="ar"/>
              </w:rPr>
              <w:t>58405.7</w:t>
            </w:r>
          </w:p>
        </w:tc>
        <w:tc>
          <w:tcPr>
            <w:tcW w:w="1500" w:type="dxa"/>
            <w:noWrap w:val="0"/>
            <w:vAlign w:val="center"/>
          </w:tcPr>
          <w:p w14:paraId="7D9403C7">
            <w:pPr>
              <w:widowControl/>
              <w:spacing w:line="240" w:lineRule="auto"/>
              <w:ind w:firstLine="0" w:firstLineChars="0"/>
              <w:jc w:val="center"/>
              <w:textAlignment w:val="center"/>
              <w:rPr>
                <w:rFonts w:hint="eastAsia" w:ascii="仿宋" w:hAnsi="仿宋" w:eastAsia="仿宋" w:cs="仿宋"/>
              </w:rPr>
            </w:pPr>
            <w:r>
              <w:rPr>
                <w:rFonts w:hint="eastAsia" w:ascii="仿宋" w:hAnsi="仿宋" w:eastAsia="仿宋" w:cs="仿宋"/>
                <w:b/>
                <w:bCs/>
                <w:color w:val="000000"/>
                <w:kern w:val="0"/>
                <w:sz w:val="21"/>
                <w:szCs w:val="21"/>
                <w:lang w:bidi="ar"/>
              </w:rPr>
              <w:t>700868.4</w:t>
            </w:r>
          </w:p>
        </w:tc>
        <w:tc>
          <w:tcPr>
            <w:tcW w:w="2145" w:type="dxa"/>
            <w:noWrap w:val="0"/>
            <w:vAlign w:val="center"/>
          </w:tcPr>
          <w:p w14:paraId="159E348A">
            <w:pPr>
              <w:spacing w:line="240" w:lineRule="auto"/>
              <w:ind w:firstLine="0" w:firstLineChars="0"/>
              <w:jc w:val="center"/>
              <w:rPr>
                <w:rFonts w:hint="eastAsia" w:ascii="仿宋" w:hAnsi="仿宋" w:eastAsia="仿宋" w:cs="仿宋"/>
              </w:rPr>
            </w:pPr>
          </w:p>
        </w:tc>
      </w:tr>
      <w:tr w14:paraId="5570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275" w:type="dxa"/>
            <w:gridSpan w:val="8"/>
            <w:noWrap w:val="0"/>
            <w:vAlign w:val="center"/>
          </w:tcPr>
          <w:p w14:paraId="122E46EA">
            <w:pPr>
              <w:widowControl/>
              <w:ind w:firstLine="0" w:firstLineChars="0"/>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备注：</w:t>
            </w:r>
          </w:p>
          <w:p w14:paraId="667E788F">
            <w:pPr>
              <w:spacing w:line="240" w:lineRule="auto"/>
              <w:ind w:firstLine="0" w:firstLineChars="0"/>
              <w:jc w:val="left"/>
              <w:rPr>
                <w:rFonts w:hint="eastAsia" w:ascii="仿宋" w:hAnsi="仿宋" w:eastAsia="仿宋" w:cs="仿宋"/>
                <w:lang w:val="en-US" w:eastAsia="zh-CN"/>
              </w:rPr>
            </w:pPr>
            <w:r>
              <w:rPr>
                <w:rFonts w:hint="eastAsia" w:ascii="仿宋" w:hAnsi="仿宋" w:eastAsia="仿宋" w:cs="仿宋"/>
                <w:color w:val="000000"/>
                <w:kern w:val="0"/>
                <w:sz w:val="20"/>
                <w:szCs w:val="20"/>
                <w:lang w:bidi="ar"/>
              </w:rPr>
              <w:t>1、以上价格为含税全费用单价，即包含：人工工资、福利、社保、雇主责任险、其他保险费、加班费、绩效、补贴、餐费、住宿费、培训费、体检费、劳动保护用品及装备、交通差旅费、服装费、耗材费、管理费、税费、利润等一切费用。</w:t>
            </w:r>
            <w:r>
              <w:rPr>
                <w:rFonts w:hint="eastAsia" w:ascii="仿宋" w:hAnsi="仿宋" w:eastAsia="仿宋" w:cs="仿宋"/>
                <w:color w:val="000000"/>
                <w:kern w:val="0"/>
                <w:sz w:val="20"/>
                <w:szCs w:val="20"/>
                <w:lang w:bidi="ar"/>
              </w:rPr>
              <w:br w:type="textWrapping"/>
            </w:r>
          </w:p>
        </w:tc>
      </w:tr>
    </w:tbl>
    <w:p w14:paraId="63A5D595">
      <w:pPr>
        <w:pStyle w:val="3"/>
        <w:widowControl/>
        <w:spacing w:before="0" w:after="0" w:line="360" w:lineRule="auto"/>
        <w:ind w:firstLine="482"/>
        <w:rPr>
          <w:rFonts w:hint="eastAsia" w:ascii="仿宋" w:hAnsi="仿宋" w:eastAsia="仿宋" w:cs="仿宋"/>
          <w:kern w:val="0"/>
          <w:sz w:val="24"/>
        </w:rPr>
      </w:pPr>
      <w:bookmarkStart w:id="38" w:name="_Toc76462330"/>
      <w:bookmarkStart w:id="39" w:name="_Toc24272"/>
      <w:bookmarkStart w:id="40" w:name="_Toc344475122"/>
      <w:r>
        <w:rPr>
          <w:rFonts w:hint="eastAsia" w:ascii="仿宋" w:hAnsi="仿宋" w:eastAsia="仿宋" w:cs="仿宋"/>
          <w:sz w:val="24"/>
        </w:rPr>
        <w:t>※三</w:t>
      </w:r>
      <w:r>
        <w:rPr>
          <w:rFonts w:hint="eastAsia" w:ascii="仿宋" w:hAnsi="仿宋" w:eastAsia="仿宋" w:cs="仿宋"/>
          <w:kern w:val="0"/>
          <w:sz w:val="24"/>
        </w:rPr>
        <w:t>、</w:t>
      </w:r>
      <w:r>
        <w:rPr>
          <w:rFonts w:hint="eastAsia" w:ascii="仿宋" w:hAnsi="仿宋" w:eastAsia="仿宋" w:cs="仿宋"/>
          <w:sz w:val="24"/>
        </w:rPr>
        <w:t>履约保证金</w:t>
      </w:r>
    </w:p>
    <w:p w14:paraId="1AD5CFA4">
      <w:pPr>
        <w:adjustRightInd w:val="0"/>
        <w:spacing w:line="360" w:lineRule="auto"/>
        <w:ind w:firstLine="560" w:firstLineChars="0"/>
        <w:rPr>
          <w:rFonts w:hint="eastAsia"/>
          <w:szCs w:val="21"/>
        </w:rPr>
      </w:pPr>
      <w:r>
        <w:rPr>
          <w:rFonts w:hint="eastAsia"/>
          <w:szCs w:val="21"/>
        </w:rPr>
        <w:t>1、</w:t>
      </w:r>
      <w:r>
        <w:rPr>
          <w:rFonts w:hint="eastAsia"/>
          <w:szCs w:val="21"/>
          <w:lang w:eastAsia="zh-CN"/>
        </w:rPr>
        <w:t>中选人</w:t>
      </w:r>
      <w:r>
        <w:rPr>
          <w:rFonts w:hint="eastAsia"/>
          <w:szCs w:val="21"/>
        </w:rPr>
        <w:t>是否提供履约保证金：提供。</w:t>
      </w:r>
    </w:p>
    <w:p w14:paraId="0C370CB1">
      <w:pPr>
        <w:adjustRightInd w:val="0"/>
        <w:spacing w:line="360" w:lineRule="auto"/>
        <w:ind w:firstLine="560" w:firstLineChars="0"/>
        <w:rPr>
          <w:rFonts w:hint="eastAsia"/>
          <w:szCs w:val="21"/>
        </w:rPr>
      </w:pPr>
      <w:r>
        <w:rPr>
          <w:rFonts w:hint="eastAsia"/>
          <w:szCs w:val="21"/>
        </w:rPr>
        <w:t>2、</w:t>
      </w:r>
      <w:r>
        <w:rPr>
          <w:rFonts w:hint="eastAsia"/>
          <w:szCs w:val="21"/>
          <w:lang w:eastAsia="zh-CN"/>
        </w:rPr>
        <w:t>中选人</w:t>
      </w:r>
      <w:r>
        <w:rPr>
          <w:rFonts w:hint="eastAsia"/>
          <w:szCs w:val="21"/>
        </w:rPr>
        <w:t>提供履约保证金的形式、金额及期限：</w:t>
      </w:r>
    </w:p>
    <w:p w14:paraId="6BCD3E8D">
      <w:pPr>
        <w:adjustRightInd w:val="0"/>
        <w:spacing w:line="360" w:lineRule="auto"/>
        <w:ind w:firstLine="560" w:firstLineChars="0"/>
        <w:rPr>
          <w:rFonts w:hint="eastAsia"/>
          <w:szCs w:val="21"/>
        </w:rPr>
      </w:pPr>
      <w:r>
        <w:rPr>
          <w:rFonts w:hint="eastAsia"/>
          <w:szCs w:val="21"/>
        </w:rPr>
        <w:t>（1）履约保证金的形式：现金或履约保函或现金+履约保函的组合，履约保函应为中国五大银行（中国工商银行、中国农业银行、中国银行、中国建设银行、交通银行）任意一家银行开具的见索即付</w:t>
      </w:r>
      <w:r>
        <w:rPr>
          <w:rFonts w:hint="eastAsia"/>
          <w:szCs w:val="21"/>
          <w:lang w:eastAsia="zh-CN"/>
        </w:rPr>
        <w:t>的</w:t>
      </w:r>
      <w:r>
        <w:rPr>
          <w:rFonts w:hint="eastAsia"/>
          <w:szCs w:val="21"/>
        </w:rPr>
        <w:t>银行保函，其格式须经过</w:t>
      </w:r>
      <w:r>
        <w:rPr>
          <w:rFonts w:hint="eastAsia"/>
          <w:szCs w:val="21"/>
          <w:lang w:val="en-US" w:eastAsia="zh-CN"/>
        </w:rPr>
        <w:t>比选</w:t>
      </w:r>
      <w:r>
        <w:rPr>
          <w:rFonts w:hint="eastAsia"/>
          <w:szCs w:val="21"/>
        </w:rPr>
        <w:t>人确认。</w:t>
      </w:r>
    </w:p>
    <w:p w14:paraId="3A5A22CF">
      <w:pPr>
        <w:adjustRightInd w:val="0"/>
        <w:spacing w:line="360" w:lineRule="auto"/>
        <w:ind w:firstLine="560" w:firstLineChars="0"/>
        <w:rPr>
          <w:rFonts w:hint="eastAsia"/>
          <w:szCs w:val="21"/>
        </w:rPr>
      </w:pPr>
      <w:r>
        <w:rPr>
          <w:rFonts w:hint="eastAsia"/>
          <w:szCs w:val="21"/>
        </w:rPr>
        <w:t>（2）具体要求：履约保函的开立人应当是中国五大银行（中国工商银行、中国农业银行、中国银行、中国建设银行、交通银行）任意一家银行。履约保函应合法合规，符合招投标行政监督部门、行业主管部门和金融监管部门的相关规定，满足</w:t>
      </w:r>
      <w:r>
        <w:rPr>
          <w:rFonts w:hint="eastAsia"/>
          <w:szCs w:val="21"/>
          <w:lang w:val="en-US" w:eastAsia="zh-CN"/>
        </w:rPr>
        <w:t>比选</w:t>
      </w:r>
      <w:r>
        <w:rPr>
          <w:rFonts w:hint="eastAsia"/>
          <w:szCs w:val="21"/>
        </w:rPr>
        <w:t>文件约定要求。</w:t>
      </w:r>
      <w:r>
        <w:rPr>
          <w:rFonts w:hint="eastAsia"/>
          <w:szCs w:val="21"/>
          <w:lang w:eastAsia="zh-CN"/>
        </w:rPr>
        <w:t>中选人</w:t>
      </w:r>
      <w:r>
        <w:rPr>
          <w:rFonts w:hint="eastAsia"/>
          <w:szCs w:val="21"/>
        </w:rPr>
        <w:t>应选择在渝依法设立总部或者设有分支机构的金融机构开具履约保函（包括纸质保函或电子保函）。履约保函为纸质保函的，纸质保函应注明在重庆市辖区范围内的核验地址和核验方式，并确保该纸质保函能在开立人在渝的总部或者分支机构进行核验。</w:t>
      </w:r>
      <w:r>
        <w:rPr>
          <w:rFonts w:hint="eastAsia"/>
          <w:szCs w:val="21"/>
          <w:lang w:eastAsia="zh-CN"/>
        </w:rPr>
        <w:t>中选人</w:t>
      </w:r>
      <w:r>
        <w:rPr>
          <w:rFonts w:hint="eastAsia"/>
          <w:szCs w:val="21"/>
        </w:rPr>
        <w:t>对所提交的履约保函的真实性、合法性、有效性负责。</w:t>
      </w:r>
    </w:p>
    <w:p w14:paraId="7B1D40DB">
      <w:pPr>
        <w:adjustRightInd w:val="0"/>
        <w:spacing w:line="360" w:lineRule="auto"/>
        <w:ind w:firstLine="560" w:firstLineChars="0"/>
        <w:rPr>
          <w:rFonts w:hint="eastAsia"/>
          <w:szCs w:val="21"/>
        </w:rPr>
      </w:pPr>
      <w:r>
        <w:rPr>
          <w:rFonts w:hint="eastAsia"/>
          <w:szCs w:val="21"/>
        </w:rPr>
        <w:t>（3）履约保证金的金额：</w:t>
      </w:r>
      <w:r>
        <w:rPr>
          <w:rFonts w:hint="eastAsia"/>
          <w:szCs w:val="21"/>
          <w:lang w:eastAsia="zh-CN"/>
        </w:rPr>
        <w:t>中选</w:t>
      </w:r>
      <w:r>
        <w:rPr>
          <w:rFonts w:hint="eastAsia"/>
          <w:szCs w:val="21"/>
        </w:rPr>
        <w:t>合同总金额的</w:t>
      </w:r>
      <w:r>
        <w:rPr>
          <w:rFonts w:hint="eastAsia"/>
          <w:szCs w:val="21"/>
          <w:lang w:val="en-US" w:eastAsia="zh-CN"/>
        </w:rPr>
        <w:t>2</w:t>
      </w:r>
      <w:r>
        <w:rPr>
          <w:rFonts w:hint="eastAsia"/>
          <w:szCs w:val="21"/>
        </w:rPr>
        <w:t>%。</w:t>
      </w:r>
    </w:p>
    <w:p w14:paraId="2568FDC9">
      <w:pPr>
        <w:adjustRightInd w:val="0"/>
        <w:spacing w:line="360" w:lineRule="auto"/>
        <w:ind w:firstLine="560" w:firstLineChars="0"/>
        <w:rPr>
          <w:rFonts w:hint="eastAsia"/>
          <w:szCs w:val="21"/>
        </w:rPr>
      </w:pPr>
      <w:r>
        <w:rPr>
          <w:rFonts w:hint="eastAsia"/>
          <w:szCs w:val="21"/>
        </w:rPr>
        <w:t>（4）履约保证金的提交时间：</w:t>
      </w:r>
      <w:r>
        <w:rPr>
          <w:rFonts w:hint="eastAsia"/>
          <w:szCs w:val="21"/>
          <w:lang w:eastAsia="zh-CN"/>
        </w:rPr>
        <w:t>中选人</w:t>
      </w:r>
      <w:r>
        <w:rPr>
          <w:rFonts w:hint="eastAsia"/>
          <w:szCs w:val="21"/>
        </w:rPr>
        <w:t>收到</w:t>
      </w:r>
      <w:r>
        <w:rPr>
          <w:rFonts w:hint="eastAsia"/>
          <w:szCs w:val="21"/>
          <w:lang w:eastAsia="zh-CN"/>
        </w:rPr>
        <w:t>中选</w:t>
      </w:r>
      <w:r>
        <w:rPr>
          <w:rFonts w:hint="eastAsia"/>
          <w:szCs w:val="21"/>
        </w:rPr>
        <w:t>通知书后10个工作日内提交。</w:t>
      </w:r>
    </w:p>
    <w:p w14:paraId="6DCEC3BF">
      <w:pPr>
        <w:adjustRightInd w:val="0"/>
        <w:spacing w:line="360" w:lineRule="auto"/>
        <w:ind w:firstLine="560" w:firstLineChars="0"/>
        <w:rPr>
          <w:rFonts w:hint="eastAsia"/>
          <w:szCs w:val="21"/>
        </w:rPr>
      </w:pPr>
      <w:r>
        <w:rPr>
          <w:rFonts w:hint="eastAsia"/>
          <w:szCs w:val="21"/>
        </w:rPr>
        <w:t>（5）履约保证金的期限：详见合同条款及格式。</w:t>
      </w:r>
    </w:p>
    <w:p w14:paraId="2B527722">
      <w:pPr>
        <w:adjustRightInd w:val="0"/>
        <w:spacing w:line="360" w:lineRule="auto"/>
        <w:ind w:firstLine="560" w:firstLineChars="0"/>
        <w:rPr>
          <w:rFonts w:hint="eastAsia" w:ascii="仿宋" w:hAnsi="仿宋" w:eastAsia="仿宋" w:cs="仿宋"/>
        </w:rPr>
      </w:pPr>
      <w:r>
        <w:rPr>
          <w:rFonts w:hint="eastAsia"/>
          <w:szCs w:val="21"/>
        </w:rPr>
        <w:t>（6）履约保证金的退还时间：详见合同条款及格式。</w:t>
      </w:r>
    </w:p>
    <w:p w14:paraId="04FDA98A">
      <w:pPr>
        <w:adjustRightInd w:val="0"/>
        <w:spacing w:line="360" w:lineRule="auto"/>
        <w:ind w:firstLine="560" w:firstLineChars="0"/>
        <w:rPr>
          <w:rFonts w:hint="eastAsia" w:ascii="仿宋" w:hAnsi="仿宋" w:eastAsia="仿宋" w:cs="仿宋"/>
          <w:lang w:eastAsia="zh-Hans"/>
        </w:rPr>
      </w:pPr>
      <w:r>
        <w:rPr>
          <w:rFonts w:hint="eastAsia" w:ascii="仿宋" w:hAnsi="仿宋" w:eastAsia="仿宋" w:cs="仿宋"/>
          <w:lang w:eastAsia="zh-Hans"/>
        </w:rPr>
        <w:t>保证金账户及账号</w:t>
      </w:r>
    </w:p>
    <w:p w14:paraId="243C256F">
      <w:pPr>
        <w:adjustRightInd w:val="0"/>
        <w:spacing w:line="360" w:lineRule="auto"/>
        <w:rPr>
          <w:rFonts w:hint="eastAsia" w:ascii="仿宋" w:hAnsi="仿宋" w:eastAsia="仿宋" w:cs="仿宋"/>
          <w:lang w:eastAsia="zh-Hans"/>
        </w:rPr>
      </w:pPr>
      <w:r>
        <w:rPr>
          <w:rFonts w:hint="eastAsia" w:ascii="仿宋" w:hAnsi="仿宋" w:eastAsia="仿宋" w:cs="仿宋"/>
          <w:lang w:eastAsia="zh-Hans"/>
        </w:rPr>
        <w:t>单位名称：重庆瑞盈实业有限公司金瑞智慧生活服务分公司</w:t>
      </w:r>
    </w:p>
    <w:p w14:paraId="17C10BB4">
      <w:pPr>
        <w:adjustRightInd w:val="0"/>
        <w:spacing w:line="360" w:lineRule="auto"/>
        <w:rPr>
          <w:rFonts w:hint="eastAsia" w:ascii="仿宋" w:hAnsi="仿宋" w:eastAsia="仿宋" w:cs="仿宋"/>
          <w:lang w:eastAsia="zh-Hans"/>
        </w:rPr>
      </w:pPr>
      <w:r>
        <w:rPr>
          <w:rFonts w:hint="eastAsia" w:ascii="仿宋" w:hAnsi="仿宋" w:eastAsia="仿宋" w:cs="仿宋"/>
          <w:lang w:eastAsia="zh-Hans"/>
        </w:rPr>
        <w:t>纳税人识别号：91500107MAEJW7804W</w:t>
      </w:r>
    </w:p>
    <w:p w14:paraId="4C82AB99">
      <w:pPr>
        <w:adjustRightInd w:val="0"/>
        <w:spacing w:line="360" w:lineRule="auto"/>
        <w:rPr>
          <w:rFonts w:hint="eastAsia" w:ascii="仿宋" w:hAnsi="仿宋" w:eastAsia="仿宋" w:cs="仿宋"/>
          <w:lang w:eastAsia="zh-Hans"/>
        </w:rPr>
      </w:pPr>
      <w:r>
        <w:rPr>
          <w:rFonts w:hint="eastAsia" w:ascii="仿宋" w:hAnsi="仿宋" w:eastAsia="仿宋" w:cs="仿宋"/>
          <w:lang w:eastAsia="zh-Hans"/>
        </w:rPr>
        <w:t xml:space="preserve">开户行：浙商银行重庆九龙坡支行 </w:t>
      </w:r>
    </w:p>
    <w:p w14:paraId="1F50C1A5">
      <w:pPr>
        <w:adjustRightInd w:val="0"/>
        <w:spacing w:line="360" w:lineRule="auto"/>
        <w:rPr>
          <w:rFonts w:hint="eastAsia" w:ascii="仿宋" w:hAnsi="仿宋" w:eastAsia="仿宋" w:cs="仿宋"/>
        </w:rPr>
      </w:pPr>
      <w:r>
        <w:rPr>
          <w:rFonts w:hint="eastAsia" w:ascii="仿宋" w:hAnsi="仿宋" w:eastAsia="仿宋" w:cs="仿宋"/>
          <w:lang w:eastAsia="zh-Hans"/>
        </w:rPr>
        <w:t>账号：6530000310120100150066</w:t>
      </w:r>
    </w:p>
    <w:bookmarkEnd w:id="38"/>
    <w:bookmarkEnd w:id="39"/>
    <w:bookmarkEnd w:id="40"/>
    <w:p w14:paraId="06F14A13">
      <w:pPr>
        <w:pStyle w:val="3"/>
        <w:spacing w:before="0" w:after="0" w:line="360" w:lineRule="auto"/>
        <w:ind w:firstLine="482"/>
        <w:rPr>
          <w:rFonts w:hint="eastAsia" w:ascii="仿宋" w:hAnsi="仿宋" w:eastAsia="仿宋" w:cs="仿宋"/>
          <w:sz w:val="24"/>
        </w:rPr>
      </w:pPr>
      <w:r>
        <w:rPr>
          <w:rFonts w:hint="eastAsia" w:ascii="仿宋" w:hAnsi="仿宋" w:eastAsia="仿宋" w:cs="仿宋"/>
          <w:sz w:val="24"/>
        </w:rPr>
        <w:t>四、特别说明</w:t>
      </w:r>
    </w:p>
    <w:p w14:paraId="0E1B80D7">
      <w:pPr>
        <w:widowControl/>
        <w:snapToGrid/>
        <w:spacing w:line="360" w:lineRule="auto"/>
        <w:ind w:firstLine="540" w:firstLineChars="0"/>
        <w:jc w:val="left"/>
        <w:rPr>
          <w:rFonts w:hint="eastAsia" w:ascii="仿宋" w:hAnsi="仿宋" w:eastAsia="仿宋" w:cs="仿宋"/>
        </w:rPr>
      </w:pPr>
      <w:r>
        <w:rPr>
          <w:rFonts w:hint="eastAsia" w:ascii="仿宋" w:hAnsi="仿宋" w:eastAsia="仿宋" w:cs="仿宋"/>
        </w:rPr>
        <w:t>各竞选人缴纳了竞选保证金、递交了竞选文件、参加了比选，即视为已对本项目比选文件的所有实质性内容全部知晓。</w:t>
      </w:r>
    </w:p>
    <w:p w14:paraId="5DDEE3B9">
      <w:pPr>
        <w:pStyle w:val="3"/>
        <w:pageBreakBefore/>
        <w:spacing w:before="0" w:after="0" w:line="360" w:lineRule="auto"/>
        <w:ind w:firstLine="0" w:firstLineChars="0"/>
        <w:rPr>
          <w:rFonts w:hint="eastAsia" w:ascii="方正小标宋_GBK" w:hAnsi="宋体" w:eastAsia="方正小标宋_GBK"/>
          <w:b w:val="0"/>
          <w:sz w:val="36"/>
          <w:szCs w:val="30"/>
        </w:rPr>
      </w:pPr>
      <w:bookmarkStart w:id="41" w:name="_Toc76462332"/>
      <w:bookmarkStart w:id="42" w:name="_Toc30137"/>
      <w:r>
        <w:rPr>
          <w:rFonts w:hint="eastAsia" w:ascii="方正小标宋_GBK" w:hAnsi="宋体" w:eastAsia="方正小标宋_GBK"/>
          <w:b w:val="0"/>
          <w:sz w:val="36"/>
          <w:szCs w:val="30"/>
        </w:rPr>
        <w:t>第四篇  比选程序及方法、评审标准、无效竞选和</w:t>
      </w:r>
      <w:r>
        <w:rPr>
          <w:rFonts w:hint="eastAsia" w:ascii="方正小标宋_GBK" w:eastAsia="方正小标宋_GBK"/>
          <w:b w:val="0"/>
          <w:sz w:val="36"/>
          <w:szCs w:val="36"/>
        </w:rPr>
        <w:t>比选终止</w:t>
      </w:r>
      <w:bookmarkEnd w:id="41"/>
      <w:bookmarkEnd w:id="42"/>
    </w:p>
    <w:p w14:paraId="28509F3F">
      <w:pPr>
        <w:pStyle w:val="3"/>
        <w:adjustRightInd w:val="0"/>
        <w:spacing w:before="0" w:after="0" w:line="400" w:lineRule="exact"/>
        <w:ind w:firstLine="482"/>
        <w:rPr>
          <w:rFonts w:hint="eastAsia" w:ascii="方正仿宋_GBK" w:hAnsi="宋体" w:eastAsia="方正仿宋_GBK"/>
          <w:sz w:val="24"/>
        </w:rPr>
      </w:pPr>
      <w:bookmarkStart w:id="43" w:name="_Toc76462333"/>
      <w:bookmarkStart w:id="44" w:name="_Toc23352"/>
      <w:r>
        <w:rPr>
          <w:rFonts w:hint="eastAsia" w:ascii="方正仿宋_GBK" w:hAnsi="宋体" w:eastAsia="方正仿宋_GBK"/>
          <w:sz w:val="24"/>
        </w:rPr>
        <w:t>一、比选程序及方法</w:t>
      </w:r>
      <w:bookmarkEnd w:id="43"/>
      <w:bookmarkEnd w:id="44"/>
    </w:p>
    <w:p w14:paraId="76A44D8E">
      <w:pPr>
        <w:rPr>
          <w:rFonts w:hint="eastAsia" w:ascii="方正仿宋_GBK" w:hAnsi="宋体"/>
        </w:rPr>
      </w:pPr>
      <w:r>
        <w:rPr>
          <w:rFonts w:hint="eastAsia" w:ascii="方正仿宋_GBK" w:hAnsi="宋体"/>
        </w:rPr>
        <w:t>（一）比选按竞争性比选文件规定的时间和地点进行，竞选人须有法定代表人（或其授权代表）参加并签到。</w:t>
      </w:r>
    </w:p>
    <w:p w14:paraId="294F9C45">
      <w:pPr>
        <w:rPr>
          <w:rFonts w:hint="eastAsia" w:ascii="方正仿宋_GBK" w:hAnsi="宋体"/>
        </w:rPr>
      </w:pPr>
      <w:r>
        <w:rPr>
          <w:rFonts w:hint="eastAsia" w:ascii="方正仿宋_GBK" w:hAnsi="宋体"/>
        </w:rPr>
        <w:t>（二）比选小组对各竞选人的资格条件、竞选文件的有效性、完整性和响应程度进行审查。各竞选人只有在完全符合要求的前提下，才能参与正式比选。</w:t>
      </w:r>
    </w:p>
    <w:p w14:paraId="6024B4F3">
      <w:pPr>
        <w:rPr>
          <w:rFonts w:ascii="方正仿宋_GBK" w:hAnsi="宋体" w:cs="宋体"/>
          <w:kern w:val="0"/>
        </w:rPr>
      </w:pPr>
      <w:r>
        <w:rPr>
          <w:rFonts w:hint="eastAsia" w:ascii="方正仿宋_GBK" w:hAnsi="宋体"/>
        </w:rPr>
        <w:t>1.</w:t>
      </w:r>
      <w:r>
        <w:rPr>
          <w:rFonts w:hint="eastAsia" w:ascii="方正仿宋_GBK" w:hAnsi="宋体" w:cs="宋体"/>
          <w:kern w:val="0"/>
        </w:rPr>
        <w:t>资格性审查。依据法律法规和竞争性比选文件的规定，对竞选文件中的资格证明等进行审查，以确定竞选人是否具备竞选资格。资格性审查资料表如下：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743"/>
        <w:gridCol w:w="3491"/>
        <w:gridCol w:w="4653"/>
      </w:tblGrid>
      <w:tr w14:paraId="37A3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00C164AC">
            <w:pPr>
              <w:wordWrap w:val="0"/>
              <w:topLinePunct/>
              <w:snapToGrid/>
              <w:spacing w:line="240" w:lineRule="auto"/>
              <w:ind w:firstLine="0" w:firstLineChars="0"/>
              <w:jc w:val="center"/>
              <w:rPr>
                <w:rFonts w:hint="eastAsia" w:cs="宋体"/>
                <w:b/>
                <w:kern w:val="0"/>
                <w:sz w:val="21"/>
                <w:szCs w:val="21"/>
              </w:rPr>
            </w:pPr>
            <w:r>
              <w:rPr>
                <w:rFonts w:hint="eastAsia" w:cs="宋体"/>
                <w:b/>
                <w:kern w:val="0"/>
                <w:sz w:val="21"/>
                <w:szCs w:val="21"/>
              </w:rPr>
              <w:t>序号</w:t>
            </w:r>
          </w:p>
        </w:tc>
        <w:tc>
          <w:tcPr>
            <w:tcW w:w="0" w:type="auto"/>
            <w:gridSpan w:val="2"/>
            <w:noWrap w:val="0"/>
            <w:vAlign w:val="center"/>
          </w:tcPr>
          <w:p w14:paraId="059B83C6">
            <w:pPr>
              <w:wordWrap w:val="0"/>
              <w:topLinePunct/>
              <w:snapToGrid/>
              <w:spacing w:line="240" w:lineRule="auto"/>
              <w:ind w:firstLine="0" w:firstLineChars="0"/>
              <w:jc w:val="center"/>
              <w:rPr>
                <w:rFonts w:hint="eastAsia" w:cs="宋体"/>
                <w:b/>
                <w:kern w:val="0"/>
                <w:sz w:val="21"/>
                <w:szCs w:val="21"/>
              </w:rPr>
            </w:pPr>
            <w:r>
              <w:rPr>
                <w:rFonts w:hint="eastAsia" w:cs="宋体"/>
                <w:b/>
                <w:kern w:val="0"/>
                <w:sz w:val="21"/>
                <w:szCs w:val="21"/>
              </w:rPr>
              <w:t>检查因素</w:t>
            </w:r>
          </w:p>
        </w:tc>
        <w:tc>
          <w:tcPr>
            <w:tcW w:w="0" w:type="auto"/>
            <w:noWrap w:val="0"/>
            <w:vAlign w:val="center"/>
          </w:tcPr>
          <w:p w14:paraId="3DE714B5">
            <w:pPr>
              <w:wordWrap w:val="0"/>
              <w:topLinePunct/>
              <w:snapToGrid/>
              <w:spacing w:line="240" w:lineRule="auto"/>
              <w:ind w:firstLine="0" w:firstLineChars="0"/>
              <w:jc w:val="center"/>
              <w:rPr>
                <w:rFonts w:hint="eastAsia" w:cs="宋体"/>
                <w:b/>
                <w:kern w:val="0"/>
                <w:sz w:val="21"/>
                <w:szCs w:val="21"/>
              </w:rPr>
            </w:pPr>
            <w:r>
              <w:rPr>
                <w:rFonts w:hint="eastAsia" w:cs="宋体"/>
                <w:b/>
                <w:kern w:val="0"/>
                <w:sz w:val="21"/>
                <w:szCs w:val="21"/>
              </w:rPr>
              <w:t>检查内容</w:t>
            </w:r>
          </w:p>
        </w:tc>
      </w:tr>
      <w:tr w14:paraId="6A47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14:paraId="38ADA093">
            <w:pPr>
              <w:wordWrap w:val="0"/>
              <w:topLinePunct/>
              <w:snapToGrid/>
              <w:spacing w:line="240" w:lineRule="auto"/>
              <w:ind w:firstLine="0" w:firstLineChars="0"/>
              <w:jc w:val="center"/>
              <w:rPr>
                <w:rFonts w:hint="eastAsia" w:cs="宋体"/>
                <w:sz w:val="21"/>
                <w:szCs w:val="21"/>
              </w:rPr>
            </w:pPr>
            <w:r>
              <w:rPr>
                <w:rFonts w:hint="eastAsia" w:cs="宋体"/>
                <w:sz w:val="21"/>
                <w:szCs w:val="21"/>
              </w:rPr>
              <w:t>（一）</w:t>
            </w:r>
          </w:p>
        </w:tc>
        <w:tc>
          <w:tcPr>
            <w:tcW w:w="0" w:type="auto"/>
            <w:vMerge w:val="restart"/>
            <w:noWrap w:val="0"/>
            <w:vAlign w:val="center"/>
          </w:tcPr>
          <w:p w14:paraId="01511B09">
            <w:pPr>
              <w:wordWrap w:val="0"/>
              <w:topLinePunct/>
              <w:snapToGrid/>
              <w:spacing w:line="240" w:lineRule="auto"/>
              <w:ind w:firstLine="0" w:firstLineChars="0"/>
              <w:jc w:val="center"/>
              <w:rPr>
                <w:rFonts w:hint="eastAsia" w:cs="宋体"/>
                <w:sz w:val="21"/>
                <w:szCs w:val="21"/>
                <w:lang w:val="zh-CN"/>
              </w:rPr>
            </w:pPr>
            <w:r>
              <w:rPr>
                <w:rFonts w:hint="eastAsia" w:cs="宋体"/>
                <w:sz w:val="21"/>
                <w:szCs w:val="21"/>
              </w:rPr>
              <w:t>资格条件</w:t>
            </w:r>
          </w:p>
        </w:tc>
        <w:tc>
          <w:tcPr>
            <w:tcW w:w="0" w:type="auto"/>
            <w:noWrap w:val="0"/>
            <w:vAlign w:val="center"/>
          </w:tcPr>
          <w:p w14:paraId="748A01DE">
            <w:pPr>
              <w:wordWrap w:val="0"/>
              <w:topLinePunct/>
              <w:snapToGrid/>
              <w:spacing w:line="240" w:lineRule="auto"/>
              <w:ind w:firstLine="0" w:firstLineChars="0"/>
              <w:jc w:val="left"/>
              <w:rPr>
                <w:rFonts w:cs="宋体"/>
                <w:sz w:val="21"/>
                <w:szCs w:val="21"/>
              </w:rPr>
            </w:pPr>
            <w:r>
              <w:rPr>
                <w:rFonts w:hint="eastAsia" w:cs="宋体"/>
                <w:sz w:val="21"/>
                <w:szCs w:val="21"/>
              </w:rPr>
              <w:t>1.基本资格条件</w:t>
            </w:r>
          </w:p>
          <w:p w14:paraId="302BD4E0">
            <w:pPr>
              <w:wordWrap w:val="0"/>
              <w:topLinePunct/>
              <w:snapToGrid/>
              <w:spacing w:line="240" w:lineRule="auto"/>
              <w:ind w:firstLine="0" w:firstLineChars="0"/>
              <w:jc w:val="left"/>
              <w:rPr>
                <w:rFonts w:hint="eastAsia" w:cs="宋体"/>
                <w:sz w:val="21"/>
                <w:szCs w:val="21"/>
              </w:rPr>
            </w:pPr>
            <w:r>
              <w:rPr>
                <w:rFonts w:hint="eastAsia" w:cs="宋体"/>
                <w:sz w:val="21"/>
                <w:szCs w:val="21"/>
              </w:rPr>
              <w:t>（1）具有独立承担民事责任的能力</w:t>
            </w:r>
          </w:p>
        </w:tc>
        <w:tc>
          <w:tcPr>
            <w:tcW w:w="0" w:type="auto"/>
            <w:noWrap w:val="0"/>
            <w:vAlign w:val="center"/>
          </w:tcPr>
          <w:p w14:paraId="5C767267">
            <w:pPr>
              <w:wordWrap w:val="0"/>
              <w:topLinePunct/>
              <w:snapToGrid/>
              <w:spacing w:line="240" w:lineRule="auto"/>
              <w:ind w:firstLine="0" w:firstLineChars="0"/>
              <w:jc w:val="left"/>
              <w:rPr>
                <w:rFonts w:hint="eastAsia" w:cs="宋体"/>
                <w:sz w:val="21"/>
                <w:szCs w:val="21"/>
              </w:rPr>
            </w:pPr>
            <w:r>
              <w:rPr>
                <w:rFonts w:hint="eastAsia" w:cs="宋体"/>
                <w:sz w:val="21"/>
                <w:szCs w:val="21"/>
              </w:rPr>
              <w:t>1.竞选人法人营业执照（副本）或事业单位法人证书（副本）。</w:t>
            </w:r>
          </w:p>
          <w:p w14:paraId="167CA656">
            <w:pPr>
              <w:wordWrap w:val="0"/>
              <w:topLinePunct/>
              <w:snapToGrid/>
              <w:spacing w:line="240" w:lineRule="auto"/>
              <w:ind w:firstLine="0" w:firstLineChars="0"/>
              <w:jc w:val="left"/>
              <w:rPr>
                <w:rFonts w:hint="eastAsia" w:cs="宋体"/>
                <w:sz w:val="21"/>
                <w:szCs w:val="21"/>
              </w:rPr>
            </w:pPr>
            <w:r>
              <w:rPr>
                <w:rFonts w:hint="eastAsia" w:cs="宋体"/>
                <w:sz w:val="21"/>
                <w:szCs w:val="21"/>
              </w:rPr>
              <w:t>2.竞选人法定代表人身份证明和法定代表人授权代表委托书。</w:t>
            </w:r>
          </w:p>
        </w:tc>
      </w:tr>
      <w:tr w14:paraId="6B62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5" w:hRule="atLeast"/>
        </w:trPr>
        <w:tc>
          <w:tcPr>
            <w:tcW w:w="0" w:type="auto"/>
            <w:vMerge w:val="continue"/>
            <w:noWrap w:val="0"/>
            <w:vAlign w:val="top"/>
          </w:tcPr>
          <w:p w14:paraId="5B91DD05">
            <w:pPr>
              <w:wordWrap w:val="0"/>
              <w:topLinePunct/>
              <w:snapToGrid/>
              <w:spacing w:line="240" w:lineRule="auto"/>
              <w:ind w:firstLine="440"/>
              <w:rPr>
                <w:rFonts w:hint="eastAsia" w:cs="宋体"/>
                <w:kern w:val="0"/>
                <w:sz w:val="21"/>
                <w:szCs w:val="21"/>
              </w:rPr>
            </w:pPr>
          </w:p>
        </w:tc>
        <w:tc>
          <w:tcPr>
            <w:tcW w:w="0" w:type="auto"/>
            <w:vMerge w:val="continue"/>
            <w:noWrap w:val="0"/>
            <w:vAlign w:val="top"/>
          </w:tcPr>
          <w:p w14:paraId="105C5F4E">
            <w:pPr>
              <w:wordWrap w:val="0"/>
              <w:topLinePunct/>
              <w:snapToGrid/>
              <w:spacing w:line="240" w:lineRule="auto"/>
              <w:ind w:firstLine="440"/>
              <w:rPr>
                <w:rFonts w:hint="eastAsia" w:cs="宋体"/>
                <w:kern w:val="0"/>
                <w:sz w:val="21"/>
                <w:szCs w:val="21"/>
              </w:rPr>
            </w:pPr>
          </w:p>
        </w:tc>
        <w:tc>
          <w:tcPr>
            <w:tcW w:w="0" w:type="auto"/>
            <w:noWrap w:val="0"/>
            <w:vAlign w:val="center"/>
          </w:tcPr>
          <w:p w14:paraId="22375376">
            <w:pPr>
              <w:wordWrap w:val="0"/>
              <w:topLinePunct/>
              <w:snapToGrid/>
              <w:spacing w:line="240" w:lineRule="auto"/>
              <w:ind w:firstLine="0" w:firstLineChars="0"/>
              <w:jc w:val="left"/>
              <w:rPr>
                <w:rFonts w:hint="eastAsia" w:cs="宋体"/>
                <w:sz w:val="21"/>
                <w:szCs w:val="21"/>
                <w:lang w:val="zh-CN"/>
              </w:rPr>
            </w:pPr>
            <w:r>
              <w:rPr>
                <w:rFonts w:hint="eastAsia" w:cs="宋体"/>
                <w:sz w:val="21"/>
                <w:szCs w:val="21"/>
                <w:lang w:val="zh-CN"/>
              </w:rPr>
              <w:t>（</w:t>
            </w:r>
            <w:r>
              <w:rPr>
                <w:rFonts w:hint="eastAsia" w:cs="宋体"/>
                <w:sz w:val="21"/>
                <w:szCs w:val="21"/>
              </w:rPr>
              <w:t>2</w:t>
            </w:r>
            <w:r>
              <w:rPr>
                <w:rFonts w:hint="eastAsia" w:cs="宋体"/>
                <w:sz w:val="21"/>
                <w:szCs w:val="21"/>
                <w:lang w:val="zh-CN"/>
              </w:rPr>
              <w:t>）</w:t>
            </w:r>
            <w:r>
              <w:rPr>
                <w:rFonts w:hint="eastAsia" w:cs="宋体"/>
                <w:sz w:val="21"/>
                <w:szCs w:val="21"/>
              </w:rPr>
              <w:t>具有良好的商业信誉和健全的财务会计制度</w:t>
            </w:r>
          </w:p>
          <w:p w14:paraId="55B54159">
            <w:pPr>
              <w:wordWrap w:val="0"/>
              <w:topLinePunct/>
              <w:snapToGrid/>
              <w:spacing w:line="240" w:lineRule="auto"/>
              <w:ind w:firstLine="0" w:firstLineChars="0"/>
              <w:jc w:val="left"/>
              <w:rPr>
                <w:rFonts w:hint="eastAsia" w:cs="宋体"/>
                <w:sz w:val="21"/>
                <w:szCs w:val="21"/>
                <w:lang w:val="zh-CN"/>
              </w:rPr>
            </w:pPr>
            <w:r>
              <w:rPr>
                <w:rFonts w:hint="eastAsia" w:cs="宋体"/>
                <w:sz w:val="21"/>
                <w:szCs w:val="21"/>
                <w:lang w:val="zh-CN"/>
              </w:rPr>
              <w:t>（</w:t>
            </w:r>
            <w:r>
              <w:rPr>
                <w:rFonts w:hint="eastAsia" w:cs="宋体"/>
                <w:sz w:val="21"/>
                <w:szCs w:val="21"/>
              </w:rPr>
              <w:t>3</w:t>
            </w:r>
            <w:r>
              <w:rPr>
                <w:rFonts w:hint="eastAsia" w:cs="宋体"/>
                <w:sz w:val="21"/>
                <w:szCs w:val="21"/>
                <w:lang w:val="zh-CN"/>
              </w:rPr>
              <w:t>）具有履行合同所必需的设备和专业技术能力</w:t>
            </w:r>
          </w:p>
          <w:p w14:paraId="6E52B370">
            <w:pPr>
              <w:wordWrap w:val="0"/>
              <w:topLinePunct/>
              <w:snapToGrid/>
              <w:spacing w:line="240" w:lineRule="auto"/>
              <w:ind w:firstLine="0" w:firstLineChars="0"/>
              <w:jc w:val="left"/>
              <w:rPr>
                <w:rFonts w:hint="eastAsia" w:cs="宋体"/>
                <w:sz w:val="21"/>
                <w:szCs w:val="21"/>
                <w:lang w:val="zh-CN"/>
              </w:rPr>
            </w:pPr>
            <w:r>
              <w:rPr>
                <w:rFonts w:hint="eastAsia" w:cs="宋体"/>
                <w:sz w:val="21"/>
                <w:szCs w:val="21"/>
                <w:lang w:val="zh-CN"/>
              </w:rPr>
              <w:t>（</w:t>
            </w:r>
            <w:r>
              <w:rPr>
                <w:rFonts w:hint="eastAsia" w:cs="宋体"/>
                <w:sz w:val="21"/>
                <w:szCs w:val="21"/>
              </w:rPr>
              <w:t>4</w:t>
            </w:r>
            <w:r>
              <w:rPr>
                <w:rFonts w:hint="eastAsia" w:cs="宋体"/>
                <w:sz w:val="21"/>
                <w:szCs w:val="21"/>
                <w:lang w:val="zh-CN"/>
              </w:rPr>
              <w:t>）有依法缴纳税收和社会保障金的良好记录</w:t>
            </w:r>
          </w:p>
          <w:p w14:paraId="41D93EB9">
            <w:pPr>
              <w:wordWrap w:val="0"/>
              <w:topLinePunct/>
              <w:snapToGrid/>
              <w:spacing w:line="240" w:lineRule="auto"/>
              <w:ind w:firstLine="0" w:firstLineChars="0"/>
              <w:jc w:val="left"/>
              <w:rPr>
                <w:rFonts w:hint="eastAsia" w:cs="宋体"/>
                <w:sz w:val="21"/>
                <w:szCs w:val="21"/>
                <w:lang w:val="zh-CN"/>
              </w:rPr>
            </w:pPr>
            <w:r>
              <w:rPr>
                <w:rFonts w:hint="eastAsia" w:cs="宋体"/>
                <w:sz w:val="21"/>
                <w:szCs w:val="21"/>
              </w:rPr>
              <w:t>（5）参加政府采购活动前三年内，在经营活动中没有重大违法记录</w:t>
            </w:r>
          </w:p>
        </w:tc>
        <w:tc>
          <w:tcPr>
            <w:tcW w:w="0" w:type="auto"/>
            <w:noWrap w:val="0"/>
            <w:vAlign w:val="center"/>
          </w:tcPr>
          <w:p w14:paraId="328E58B2">
            <w:pPr>
              <w:wordWrap w:val="0"/>
              <w:topLinePunct/>
              <w:snapToGrid/>
              <w:spacing w:line="240" w:lineRule="auto"/>
              <w:ind w:firstLine="0" w:firstLineChars="0"/>
              <w:jc w:val="left"/>
              <w:rPr>
                <w:rFonts w:hint="eastAsia" w:cs="宋体"/>
                <w:sz w:val="21"/>
                <w:szCs w:val="21"/>
              </w:rPr>
            </w:pPr>
            <w:r>
              <w:rPr>
                <w:rFonts w:hint="eastAsia" w:cs="宋体"/>
                <w:sz w:val="21"/>
                <w:szCs w:val="21"/>
              </w:rPr>
              <w:t>竞选人提供“基本资格条件承诺函”（格式详见第七篇）</w:t>
            </w:r>
          </w:p>
        </w:tc>
      </w:tr>
      <w:tr w14:paraId="33BE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top"/>
          </w:tcPr>
          <w:p w14:paraId="63B7FC42">
            <w:pPr>
              <w:wordWrap w:val="0"/>
              <w:topLinePunct/>
              <w:snapToGrid/>
              <w:spacing w:line="240" w:lineRule="auto"/>
              <w:ind w:firstLine="440"/>
              <w:rPr>
                <w:rFonts w:hint="eastAsia" w:cs="宋体"/>
                <w:kern w:val="0"/>
                <w:sz w:val="21"/>
                <w:szCs w:val="21"/>
              </w:rPr>
            </w:pPr>
          </w:p>
        </w:tc>
        <w:tc>
          <w:tcPr>
            <w:tcW w:w="0" w:type="auto"/>
            <w:vMerge w:val="continue"/>
            <w:noWrap w:val="0"/>
            <w:vAlign w:val="top"/>
          </w:tcPr>
          <w:p w14:paraId="20DC049D">
            <w:pPr>
              <w:wordWrap w:val="0"/>
              <w:topLinePunct/>
              <w:snapToGrid/>
              <w:spacing w:line="240" w:lineRule="auto"/>
              <w:ind w:firstLine="440"/>
              <w:rPr>
                <w:rFonts w:hint="eastAsia" w:cs="宋体"/>
                <w:kern w:val="0"/>
                <w:sz w:val="21"/>
                <w:szCs w:val="21"/>
              </w:rPr>
            </w:pPr>
          </w:p>
        </w:tc>
        <w:tc>
          <w:tcPr>
            <w:tcW w:w="0" w:type="auto"/>
            <w:noWrap w:val="0"/>
            <w:vAlign w:val="center"/>
          </w:tcPr>
          <w:p w14:paraId="4DC7217F">
            <w:pPr>
              <w:wordWrap w:val="0"/>
              <w:topLinePunct/>
              <w:snapToGrid/>
              <w:spacing w:line="240" w:lineRule="auto"/>
              <w:ind w:firstLine="0" w:firstLineChars="0"/>
              <w:jc w:val="left"/>
              <w:rPr>
                <w:rFonts w:hint="eastAsia" w:cs="宋体"/>
                <w:sz w:val="21"/>
                <w:szCs w:val="21"/>
              </w:rPr>
            </w:pPr>
            <w:r>
              <w:rPr>
                <w:rFonts w:hint="eastAsia" w:cs="宋体"/>
                <w:sz w:val="21"/>
                <w:szCs w:val="21"/>
              </w:rPr>
              <w:t>（6）法律、行政法规规定的其他条件</w:t>
            </w:r>
          </w:p>
        </w:tc>
        <w:tc>
          <w:tcPr>
            <w:tcW w:w="0" w:type="auto"/>
            <w:noWrap w:val="0"/>
            <w:vAlign w:val="center"/>
          </w:tcPr>
          <w:p w14:paraId="22BA98B0">
            <w:pPr>
              <w:wordWrap w:val="0"/>
              <w:topLinePunct/>
              <w:snapToGrid/>
              <w:spacing w:line="240" w:lineRule="auto"/>
              <w:ind w:firstLine="0" w:firstLineChars="0"/>
              <w:jc w:val="left"/>
              <w:rPr>
                <w:rFonts w:hint="eastAsia" w:cs="宋体"/>
                <w:sz w:val="21"/>
                <w:szCs w:val="21"/>
              </w:rPr>
            </w:pPr>
          </w:p>
        </w:tc>
      </w:tr>
      <w:tr w14:paraId="44D1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top"/>
          </w:tcPr>
          <w:p w14:paraId="3B221C42">
            <w:pPr>
              <w:wordWrap w:val="0"/>
              <w:topLinePunct/>
              <w:snapToGrid/>
              <w:spacing w:line="240" w:lineRule="auto"/>
              <w:ind w:firstLine="440"/>
              <w:rPr>
                <w:rFonts w:hint="eastAsia" w:cs="宋体"/>
                <w:kern w:val="0"/>
                <w:sz w:val="21"/>
                <w:szCs w:val="21"/>
              </w:rPr>
            </w:pPr>
          </w:p>
        </w:tc>
        <w:tc>
          <w:tcPr>
            <w:tcW w:w="0" w:type="auto"/>
            <w:vMerge w:val="continue"/>
            <w:noWrap w:val="0"/>
            <w:vAlign w:val="top"/>
          </w:tcPr>
          <w:p w14:paraId="6E6AFF66">
            <w:pPr>
              <w:wordWrap w:val="0"/>
              <w:topLinePunct/>
              <w:snapToGrid/>
              <w:spacing w:line="240" w:lineRule="auto"/>
              <w:ind w:firstLine="440"/>
              <w:rPr>
                <w:rFonts w:hint="eastAsia" w:cs="宋体"/>
                <w:kern w:val="0"/>
                <w:sz w:val="21"/>
                <w:szCs w:val="21"/>
              </w:rPr>
            </w:pPr>
          </w:p>
        </w:tc>
        <w:tc>
          <w:tcPr>
            <w:tcW w:w="0" w:type="auto"/>
            <w:noWrap w:val="0"/>
            <w:vAlign w:val="center"/>
          </w:tcPr>
          <w:p w14:paraId="436B7D35">
            <w:pPr>
              <w:wordWrap w:val="0"/>
              <w:topLinePunct/>
              <w:snapToGrid/>
              <w:spacing w:line="240" w:lineRule="auto"/>
              <w:ind w:firstLine="0" w:firstLineChars="0"/>
              <w:jc w:val="left"/>
              <w:rPr>
                <w:rFonts w:cs="宋体"/>
                <w:sz w:val="21"/>
                <w:szCs w:val="21"/>
              </w:rPr>
            </w:pPr>
            <w:r>
              <w:rPr>
                <w:rFonts w:hint="eastAsia" w:cs="宋体"/>
                <w:sz w:val="21"/>
                <w:szCs w:val="21"/>
              </w:rPr>
              <w:t>2.</w:t>
            </w:r>
            <w:r>
              <w:rPr>
                <w:rFonts w:hint="eastAsia"/>
                <w:sz w:val="21"/>
                <w:szCs w:val="21"/>
              </w:rPr>
              <w:t>竞选人须具有独立法人资格</w:t>
            </w:r>
          </w:p>
        </w:tc>
        <w:tc>
          <w:tcPr>
            <w:tcW w:w="0" w:type="auto"/>
            <w:noWrap w:val="0"/>
            <w:vAlign w:val="center"/>
          </w:tcPr>
          <w:p w14:paraId="4A7194AD">
            <w:pPr>
              <w:wordWrap w:val="0"/>
              <w:topLinePunct/>
              <w:snapToGrid/>
              <w:spacing w:line="240" w:lineRule="auto"/>
              <w:ind w:firstLine="0" w:firstLineChars="0"/>
              <w:jc w:val="left"/>
              <w:rPr>
                <w:rFonts w:hint="eastAsia" w:cs="宋体"/>
                <w:sz w:val="21"/>
                <w:szCs w:val="21"/>
              </w:rPr>
            </w:pPr>
            <w:r>
              <w:rPr>
                <w:rFonts w:hint="eastAsia" w:ascii="方正仿宋_GBK" w:hAnsi="宋体"/>
                <w:sz w:val="21"/>
                <w:szCs w:val="21"/>
                <w:highlight w:val="none"/>
              </w:rPr>
              <w:t>营业执照复印件并加盖竞选人单位公章</w:t>
            </w:r>
          </w:p>
        </w:tc>
      </w:tr>
      <w:tr w14:paraId="0862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0" w:type="auto"/>
            <w:vMerge w:val="continue"/>
            <w:noWrap w:val="0"/>
            <w:vAlign w:val="top"/>
          </w:tcPr>
          <w:p w14:paraId="4EECC66E">
            <w:pPr>
              <w:wordWrap w:val="0"/>
              <w:topLinePunct/>
              <w:snapToGrid/>
              <w:spacing w:line="240" w:lineRule="auto"/>
              <w:ind w:firstLine="440"/>
              <w:rPr>
                <w:rFonts w:hint="eastAsia" w:cs="宋体"/>
                <w:kern w:val="0"/>
                <w:sz w:val="21"/>
                <w:szCs w:val="21"/>
              </w:rPr>
            </w:pPr>
          </w:p>
        </w:tc>
        <w:tc>
          <w:tcPr>
            <w:tcW w:w="0" w:type="auto"/>
            <w:vMerge w:val="continue"/>
            <w:noWrap w:val="0"/>
            <w:vAlign w:val="top"/>
          </w:tcPr>
          <w:p w14:paraId="57525026">
            <w:pPr>
              <w:wordWrap w:val="0"/>
              <w:topLinePunct/>
              <w:snapToGrid/>
              <w:spacing w:line="240" w:lineRule="auto"/>
              <w:ind w:firstLine="440"/>
              <w:rPr>
                <w:rFonts w:hint="eastAsia" w:cs="宋体"/>
                <w:kern w:val="0"/>
                <w:sz w:val="21"/>
                <w:szCs w:val="21"/>
              </w:rPr>
            </w:pPr>
          </w:p>
        </w:tc>
        <w:tc>
          <w:tcPr>
            <w:tcW w:w="0" w:type="auto"/>
            <w:noWrap w:val="0"/>
            <w:vAlign w:val="center"/>
          </w:tcPr>
          <w:p w14:paraId="64058926">
            <w:pPr>
              <w:wordWrap w:val="0"/>
              <w:topLinePunct/>
              <w:snapToGrid/>
              <w:spacing w:line="240" w:lineRule="auto"/>
              <w:ind w:firstLine="0" w:firstLineChars="0"/>
              <w:jc w:val="left"/>
              <w:rPr>
                <w:rFonts w:hint="eastAsia" w:cs="宋体"/>
                <w:sz w:val="21"/>
                <w:szCs w:val="21"/>
              </w:rPr>
            </w:pPr>
            <w:r>
              <w:rPr>
                <w:rFonts w:hint="eastAsia" w:cs="宋体"/>
                <w:sz w:val="21"/>
                <w:szCs w:val="21"/>
              </w:rPr>
              <w:t>3.本项目的特定资格要求</w:t>
            </w:r>
          </w:p>
        </w:tc>
        <w:tc>
          <w:tcPr>
            <w:tcW w:w="0" w:type="auto"/>
            <w:noWrap w:val="0"/>
            <w:vAlign w:val="center"/>
          </w:tcPr>
          <w:p w14:paraId="00AEDF39">
            <w:pPr>
              <w:wordWrap w:val="0"/>
              <w:topLinePunct/>
              <w:snapToGrid/>
              <w:spacing w:line="240" w:lineRule="auto"/>
              <w:ind w:firstLine="0" w:firstLineChars="0"/>
              <w:jc w:val="left"/>
              <w:rPr>
                <w:rFonts w:hint="eastAsia" w:cs="宋体"/>
                <w:sz w:val="21"/>
                <w:szCs w:val="21"/>
              </w:rPr>
            </w:pPr>
            <w:r>
              <w:rPr>
                <w:rFonts w:hint="eastAsia" w:cs="宋体"/>
                <w:sz w:val="21"/>
                <w:szCs w:val="21"/>
              </w:rPr>
              <w:t>按“第一篇三、竞选人资格要求（二）本项目的特定资格要求”的要求提交（如果有）。</w:t>
            </w:r>
          </w:p>
        </w:tc>
      </w:tr>
      <w:tr w14:paraId="2D10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0" w:type="auto"/>
            <w:noWrap w:val="0"/>
            <w:vAlign w:val="center"/>
          </w:tcPr>
          <w:p w14:paraId="47BCC698">
            <w:pPr>
              <w:wordWrap w:val="0"/>
              <w:topLinePunct/>
              <w:snapToGrid/>
              <w:spacing w:line="240" w:lineRule="auto"/>
              <w:ind w:firstLine="0" w:firstLineChars="0"/>
              <w:jc w:val="center"/>
              <w:rPr>
                <w:rFonts w:hint="eastAsia" w:cs="宋体"/>
                <w:kern w:val="0"/>
                <w:sz w:val="21"/>
                <w:szCs w:val="21"/>
              </w:rPr>
            </w:pPr>
            <w:r>
              <w:rPr>
                <w:rFonts w:hint="eastAsia" w:cs="宋体"/>
                <w:kern w:val="0"/>
                <w:sz w:val="21"/>
                <w:szCs w:val="21"/>
              </w:rPr>
              <w:t>（二）</w:t>
            </w:r>
          </w:p>
        </w:tc>
        <w:tc>
          <w:tcPr>
            <w:tcW w:w="0" w:type="auto"/>
            <w:gridSpan w:val="2"/>
            <w:noWrap w:val="0"/>
            <w:vAlign w:val="center"/>
          </w:tcPr>
          <w:p w14:paraId="3DF15350">
            <w:pPr>
              <w:wordWrap w:val="0"/>
              <w:topLinePunct/>
              <w:snapToGrid/>
              <w:spacing w:line="240" w:lineRule="auto"/>
              <w:ind w:firstLine="0" w:firstLineChars="0"/>
              <w:jc w:val="left"/>
              <w:rPr>
                <w:rFonts w:hint="eastAsia" w:cs="宋体"/>
                <w:kern w:val="0"/>
                <w:sz w:val="21"/>
                <w:szCs w:val="21"/>
              </w:rPr>
            </w:pPr>
            <w:r>
              <w:rPr>
                <w:rFonts w:hint="eastAsia" w:cs="宋体"/>
                <w:kern w:val="0"/>
                <w:sz w:val="21"/>
                <w:szCs w:val="21"/>
              </w:rPr>
              <w:t>保证金</w:t>
            </w:r>
          </w:p>
        </w:tc>
        <w:tc>
          <w:tcPr>
            <w:tcW w:w="0" w:type="auto"/>
            <w:noWrap w:val="0"/>
            <w:vAlign w:val="center"/>
          </w:tcPr>
          <w:p w14:paraId="1F44C0D6">
            <w:pPr>
              <w:wordWrap w:val="0"/>
              <w:topLinePunct/>
              <w:snapToGrid/>
              <w:spacing w:line="240" w:lineRule="auto"/>
              <w:ind w:firstLine="0" w:firstLineChars="0"/>
              <w:jc w:val="left"/>
              <w:rPr>
                <w:rFonts w:hint="eastAsia" w:cs="宋体"/>
                <w:sz w:val="21"/>
                <w:szCs w:val="21"/>
              </w:rPr>
            </w:pPr>
            <w:r>
              <w:rPr>
                <w:rFonts w:hint="eastAsia" w:cs="宋体"/>
                <w:kern w:val="0"/>
                <w:sz w:val="21"/>
                <w:szCs w:val="21"/>
              </w:rPr>
              <w:t>按照竞争性</w:t>
            </w:r>
            <w:r>
              <w:rPr>
                <w:rFonts w:hint="eastAsia" w:cs="宋体"/>
                <w:sz w:val="21"/>
                <w:szCs w:val="21"/>
              </w:rPr>
              <w:t>比选</w:t>
            </w:r>
            <w:r>
              <w:rPr>
                <w:rFonts w:hint="eastAsia" w:cs="宋体"/>
                <w:kern w:val="0"/>
                <w:sz w:val="21"/>
                <w:szCs w:val="21"/>
              </w:rPr>
              <w:t>文件要求足额交纳所参与包的保证金。</w:t>
            </w:r>
          </w:p>
        </w:tc>
      </w:tr>
    </w:tbl>
    <w:p w14:paraId="619069D6">
      <w:pPr>
        <w:rPr>
          <w:rFonts w:hint="eastAsia" w:ascii="方正仿宋_GBK"/>
          <w:kern w:val="0"/>
        </w:rPr>
      </w:pPr>
      <w:r>
        <w:rPr>
          <w:rFonts w:hint="eastAsia" w:ascii="方正仿宋_GBK" w:hAnsi="宋体" w:cs="宋体"/>
          <w:kern w:val="0"/>
        </w:rPr>
        <w:t>2.符合性审查。依据竞争性比选文件的规定，从竞选文件的有效性、完整性和对竞争性比选文件的响应程度进行审查，以确定是否对竞争性比选文件的实质性要求作出响应。</w:t>
      </w:r>
      <w:r>
        <w:rPr>
          <w:rFonts w:hint="eastAsia" w:ascii="方正仿宋_GBK"/>
          <w:kern w:val="0"/>
        </w:rPr>
        <w:t>符合性审查资料表如下：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59FC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1E6605CE">
            <w:pPr>
              <w:ind w:firstLine="0" w:firstLineChars="0"/>
              <w:jc w:val="center"/>
              <w:rPr>
                <w:rFonts w:hint="eastAsia" w:ascii="方正仿宋_GBK" w:hAnsi="宋体" w:cs="宋体"/>
                <w:b/>
                <w:kern w:val="0"/>
                <w:sz w:val="21"/>
                <w:szCs w:val="21"/>
              </w:rPr>
            </w:pPr>
            <w:r>
              <w:rPr>
                <w:rFonts w:hint="eastAsia" w:ascii="方正仿宋_GBK" w:hAnsi="宋体" w:cs="宋体"/>
                <w:b/>
                <w:kern w:val="0"/>
                <w:sz w:val="21"/>
                <w:szCs w:val="21"/>
              </w:rPr>
              <w:t>序号</w:t>
            </w:r>
          </w:p>
        </w:tc>
        <w:tc>
          <w:tcPr>
            <w:tcW w:w="3544" w:type="dxa"/>
            <w:gridSpan w:val="2"/>
            <w:noWrap w:val="0"/>
            <w:vAlign w:val="center"/>
          </w:tcPr>
          <w:p w14:paraId="3C5DAE27">
            <w:pPr>
              <w:ind w:firstLine="0" w:firstLineChars="0"/>
              <w:jc w:val="center"/>
              <w:rPr>
                <w:rFonts w:hint="eastAsia" w:ascii="方正仿宋_GBK" w:hAnsi="宋体" w:cs="宋体"/>
                <w:b/>
                <w:kern w:val="0"/>
                <w:sz w:val="21"/>
                <w:szCs w:val="21"/>
              </w:rPr>
            </w:pPr>
            <w:r>
              <w:rPr>
                <w:rFonts w:hint="eastAsia" w:ascii="方正仿宋_GBK" w:hAnsi="宋体" w:cs="宋体"/>
                <w:b/>
                <w:kern w:val="0"/>
                <w:sz w:val="21"/>
                <w:szCs w:val="21"/>
              </w:rPr>
              <w:t>评审因素</w:t>
            </w:r>
          </w:p>
        </w:tc>
        <w:tc>
          <w:tcPr>
            <w:tcW w:w="5409" w:type="dxa"/>
            <w:noWrap w:val="0"/>
            <w:vAlign w:val="center"/>
          </w:tcPr>
          <w:p w14:paraId="4A55717F">
            <w:pPr>
              <w:ind w:firstLine="0" w:firstLineChars="0"/>
              <w:jc w:val="center"/>
              <w:rPr>
                <w:rFonts w:hint="eastAsia" w:ascii="方正仿宋_GBK" w:hAnsi="宋体" w:cs="宋体"/>
                <w:b/>
                <w:kern w:val="0"/>
                <w:sz w:val="21"/>
                <w:szCs w:val="21"/>
              </w:rPr>
            </w:pPr>
            <w:r>
              <w:rPr>
                <w:rFonts w:hint="eastAsia" w:ascii="方正仿宋_GBK" w:hAnsi="宋体" w:cs="宋体"/>
                <w:b/>
                <w:kern w:val="0"/>
                <w:sz w:val="21"/>
                <w:szCs w:val="21"/>
              </w:rPr>
              <w:t>评审标准</w:t>
            </w:r>
          </w:p>
        </w:tc>
      </w:tr>
      <w:tr w14:paraId="519C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14:paraId="463C715B">
            <w:pPr>
              <w:ind w:firstLine="0" w:firstLineChars="0"/>
              <w:jc w:val="center"/>
              <w:rPr>
                <w:rFonts w:hint="eastAsia" w:ascii="方正仿宋_GBK" w:hAnsi="宋体" w:cs="宋体"/>
                <w:kern w:val="0"/>
                <w:sz w:val="21"/>
                <w:szCs w:val="21"/>
              </w:rPr>
            </w:pPr>
            <w:r>
              <w:rPr>
                <w:rFonts w:hint="eastAsia" w:ascii="方正仿宋_GBK" w:hAnsi="宋体" w:cs="宋体"/>
                <w:kern w:val="0"/>
                <w:sz w:val="21"/>
                <w:szCs w:val="21"/>
              </w:rPr>
              <w:t>1</w:t>
            </w:r>
          </w:p>
        </w:tc>
        <w:tc>
          <w:tcPr>
            <w:tcW w:w="1560" w:type="dxa"/>
            <w:vMerge w:val="restart"/>
            <w:noWrap w:val="0"/>
            <w:vAlign w:val="center"/>
          </w:tcPr>
          <w:p w14:paraId="71DCD3A9">
            <w:pPr>
              <w:ind w:firstLine="0" w:firstLineChars="0"/>
              <w:rPr>
                <w:rFonts w:hint="eastAsia" w:ascii="方正仿宋_GBK" w:hAnsi="宋体" w:cs="宋体"/>
                <w:kern w:val="0"/>
                <w:sz w:val="21"/>
                <w:szCs w:val="21"/>
              </w:rPr>
            </w:pPr>
            <w:r>
              <w:rPr>
                <w:rFonts w:hint="eastAsia" w:ascii="方正仿宋_GBK" w:hAnsi="宋体" w:cs="宋体"/>
                <w:kern w:val="0"/>
                <w:sz w:val="21"/>
                <w:szCs w:val="21"/>
              </w:rPr>
              <w:t>有效性审查</w:t>
            </w:r>
          </w:p>
        </w:tc>
        <w:tc>
          <w:tcPr>
            <w:tcW w:w="1984" w:type="dxa"/>
            <w:noWrap w:val="0"/>
            <w:vAlign w:val="center"/>
          </w:tcPr>
          <w:p w14:paraId="1B6115FB">
            <w:pPr>
              <w:ind w:firstLine="0" w:firstLineChars="0"/>
              <w:rPr>
                <w:rFonts w:hint="eastAsia" w:ascii="方正仿宋_GBK" w:hAnsi="宋体" w:cs="宋体"/>
                <w:kern w:val="0"/>
                <w:sz w:val="21"/>
                <w:szCs w:val="21"/>
              </w:rPr>
            </w:pPr>
            <w:r>
              <w:rPr>
                <w:rFonts w:hint="eastAsia" w:ascii="方正仿宋_GBK" w:hAnsi="宋体"/>
                <w:sz w:val="21"/>
                <w:szCs w:val="21"/>
              </w:rPr>
              <w:t>竞选文件签署或盖章</w:t>
            </w:r>
          </w:p>
        </w:tc>
        <w:tc>
          <w:tcPr>
            <w:tcW w:w="5409" w:type="dxa"/>
            <w:noWrap w:val="0"/>
            <w:vAlign w:val="center"/>
          </w:tcPr>
          <w:p w14:paraId="70B8555B">
            <w:pPr>
              <w:ind w:firstLine="0" w:firstLineChars="0"/>
              <w:rPr>
                <w:rFonts w:hint="eastAsia" w:ascii="方正仿宋_GBK" w:hAnsi="宋体" w:cs="宋体"/>
                <w:kern w:val="0"/>
                <w:sz w:val="21"/>
                <w:szCs w:val="21"/>
              </w:rPr>
            </w:pPr>
            <w:r>
              <w:rPr>
                <w:rFonts w:hint="eastAsia" w:ascii="方正仿宋_GBK" w:hAnsi="宋体"/>
                <w:sz w:val="21"/>
                <w:szCs w:val="21"/>
              </w:rPr>
              <w:t>按竞争性比选文件“第七篇竞选文件编制要求”要求签署或盖章。</w:t>
            </w:r>
          </w:p>
        </w:tc>
      </w:tr>
      <w:tr w14:paraId="7E97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14:paraId="10404C7F">
            <w:pPr>
              <w:ind w:firstLine="0" w:firstLineChars="0"/>
              <w:jc w:val="center"/>
              <w:rPr>
                <w:rFonts w:hint="eastAsia" w:ascii="方正仿宋_GBK" w:hAnsi="宋体" w:cs="宋体"/>
                <w:kern w:val="0"/>
                <w:sz w:val="21"/>
                <w:szCs w:val="21"/>
              </w:rPr>
            </w:pPr>
          </w:p>
        </w:tc>
        <w:tc>
          <w:tcPr>
            <w:tcW w:w="1560" w:type="dxa"/>
            <w:vMerge w:val="continue"/>
            <w:noWrap w:val="0"/>
            <w:vAlign w:val="center"/>
          </w:tcPr>
          <w:p w14:paraId="23ED2167">
            <w:pPr>
              <w:ind w:firstLine="0" w:firstLineChars="0"/>
              <w:rPr>
                <w:rFonts w:hint="eastAsia" w:ascii="方正仿宋_GBK" w:hAnsi="宋体" w:cs="宋体"/>
                <w:kern w:val="0"/>
                <w:sz w:val="21"/>
                <w:szCs w:val="21"/>
              </w:rPr>
            </w:pPr>
          </w:p>
        </w:tc>
        <w:tc>
          <w:tcPr>
            <w:tcW w:w="1984" w:type="dxa"/>
            <w:noWrap w:val="0"/>
            <w:vAlign w:val="center"/>
          </w:tcPr>
          <w:p w14:paraId="2807FA09">
            <w:pPr>
              <w:ind w:firstLine="0" w:firstLineChars="0"/>
              <w:rPr>
                <w:rFonts w:hint="eastAsia" w:ascii="方正仿宋_GBK" w:hAnsi="宋体"/>
                <w:sz w:val="21"/>
                <w:szCs w:val="21"/>
              </w:rPr>
            </w:pPr>
            <w:r>
              <w:rPr>
                <w:rFonts w:hint="eastAsia" w:ascii="方正仿宋_GBK" w:hAnsi="宋体"/>
                <w:sz w:val="21"/>
                <w:szCs w:val="21"/>
              </w:rPr>
              <w:t>法定代表人身份证明及授权委托书</w:t>
            </w:r>
          </w:p>
        </w:tc>
        <w:tc>
          <w:tcPr>
            <w:tcW w:w="5409" w:type="dxa"/>
            <w:noWrap w:val="0"/>
            <w:vAlign w:val="center"/>
          </w:tcPr>
          <w:p w14:paraId="06B2D412">
            <w:pPr>
              <w:ind w:firstLine="0" w:firstLineChars="0"/>
              <w:rPr>
                <w:rFonts w:hint="eastAsia" w:ascii="方正仿宋_GBK" w:hAnsi="宋体"/>
                <w:sz w:val="21"/>
                <w:szCs w:val="21"/>
              </w:rPr>
            </w:pPr>
            <w:r>
              <w:rPr>
                <w:rFonts w:hint="eastAsia" w:ascii="方正仿宋_GBK" w:hAnsi="宋体"/>
                <w:sz w:val="21"/>
                <w:szCs w:val="21"/>
              </w:rPr>
              <w:t>法定代表人身份证明及授权委托书有效，符合竞争性比选文件规定的格式，签署或盖章齐全。</w:t>
            </w:r>
          </w:p>
        </w:tc>
      </w:tr>
      <w:tr w14:paraId="37B7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3B21F794">
            <w:pPr>
              <w:ind w:firstLine="0" w:firstLineChars="0"/>
              <w:jc w:val="center"/>
              <w:rPr>
                <w:rFonts w:hint="eastAsia" w:ascii="方正仿宋_GBK" w:hAnsi="宋体" w:cs="宋体"/>
                <w:kern w:val="0"/>
                <w:sz w:val="21"/>
                <w:szCs w:val="21"/>
              </w:rPr>
            </w:pPr>
          </w:p>
        </w:tc>
        <w:tc>
          <w:tcPr>
            <w:tcW w:w="1560" w:type="dxa"/>
            <w:vMerge w:val="continue"/>
            <w:noWrap w:val="0"/>
            <w:vAlign w:val="center"/>
          </w:tcPr>
          <w:p w14:paraId="00C19326">
            <w:pPr>
              <w:ind w:firstLine="0" w:firstLineChars="0"/>
              <w:rPr>
                <w:rFonts w:hint="eastAsia" w:ascii="方正仿宋_GBK" w:hAnsi="宋体" w:cs="宋体"/>
                <w:kern w:val="0"/>
                <w:sz w:val="21"/>
                <w:szCs w:val="21"/>
              </w:rPr>
            </w:pPr>
          </w:p>
        </w:tc>
        <w:tc>
          <w:tcPr>
            <w:tcW w:w="1984" w:type="dxa"/>
            <w:noWrap w:val="0"/>
            <w:vAlign w:val="center"/>
          </w:tcPr>
          <w:p w14:paraId="3DD8949C">
            <w:pPr>
              <w:ind w:firstLine="0" w:firstLineChars="0"/>
              <w:rPr>
                <w:rFonts w:hint="eastAsia" w:ascii="方正仿宋_GBK" w:hAnsi="宋体" w:cs="仿宋_GB2312"/>
                <w:sz w:val="21"/>
                <w:szCs w:val="21"/>
                <w:lang w:val="zh-CN"/>
              </w:rPr>
            </w:pPr>
            <w:r>
              <w:rPr>
                <w:rFonts w:hint="eastAsia" w:ascii="方正仿宋_GBK" w:hAnsi="宋体" w:cs="仿宋_GB2312"/>
                <w:sz w:val="21"/>
                <w:szCs w:val="21"/>
              </w:rPr>
              <w:t>竞选</w:t>
            </w:r>
            <w:r>
              <w:rPr>
                <w:rFonts w:hint="eastAsia" w:ascii="方正仿宋_GBK" w:hAnsi="宋体" w:cs="仿宋_GB2312"/>
                <w:sz w:val="21"/>
                <w:szCs w:val="21"/>
                <w:lang w:val="zh-CN"/>
              </w:rPr>
              <w:t>方案</w:t>
            </w:r>
          </w:p>
        </w:tc>
        <w:tc>
          <w:tcPr>
            <w:tcW w:w="5409" w:type="dxa"/>
            <w:noWrap w:val="0"/>
            <w:vAlign w:val="center"/>
          </w:tcPr>
          <w:p w14:paraId="6844436C">
            <w:pPr>
              <w:ind w:firstLine="0" w:firstLineChars="0"/>
              <w:rPr>
                <w:rFonts w:hint="eastAsia" w:ascii="方正仿宋_GBK" w:hAnsi="宋体" w:cs="宋体"/>
                <w:kern w:val="0"/>
                <w:sz w:val="21"/>
                <w:szCs w:val="21"/>
              </w:rPr>
            </w:pPr>
            <w:r>
              <w:rPr>
                <w:rFonts w:hint="eastAsia" w:ascii="方正仿宋_GBK" w:hAnsi="宋体" w:cs="仿宋_GB2312"/>
                <w:sz w:val="21"/>
                <w:szCs w:val="21"/>
                <w:lang w:val="zh-CN"/>
              </w:rPr>
              <w:t>每个包只能有一个</w:t>
            </w:r>
            <w:r>
              <w:rPr>
                <w:rFonts w:hint="eastAsia" w:ascii="方正仿宋_GBK" w:hAnsi="宋体" w:cs="仿宋_GB2312"/>
                <w:sz w:val="21"/>
                <w:szCs w:val="21"/>
              </w:rPr>
              <w:t>竞选</w:t>
            </w:r>
            <w:r>
              <w:rPr>
                <w:rFonts w:hint="eastAsia" w:ascii="方正仿宋_GBK" w:hAnsi="宋体" w:cs="仿宋_GB2312"/>
                <w:sz w:val="21"/>
                <w:szCs w:val="21"/>
                <w:lang w:val="zh-CN"/>
              </w:rPr>
              <w:t>方案。</w:t>
            </w:r>
          </w:p>
        </w:tc>
      </w:tr>
      <w:tr w14:paraId="0020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noWrap w:val="0"/>
            <w:vAlign w:val="center"/>
          </w:tcPr>
          <w:p w14:paraId="144910AC">
            <w:pPr>
              <w:ind w:firstLine="0" w:firstLineChars="0"/>
              <w:jc w:val="center"/>
              <w:rPr>
                <w:rFonts w:hint="eastAsia" w:ascii="方正仿宋_GBK" w:hAnsi="宋体" w:cs="宋体"/>
                <w:kern w:val="0"/>
                <w:sz w:val="21"/>
                <w:szCs w:val="21"/>
              </w:rPr>
            </w:pPr>
          </w:p>
        </w:tc>
        <w:tc>
          <w:tcPr>
            <w:tcW w:w="1560" w:type="dxa"/>
            <w:vMerge w:val="continue"/>
            <w:noWrap w:val="0"/>
            <w:vAlign w:val="center"/>
          </w:tcPr>
          <w:p w14:paraId="1F1C05C7">
            <w:pPr>
              <w:ind w:firstLine="0" w:firstLineChars="0"/>
              <w:rPr>
                <w:rFonts w:hint="eastAsia" w:ascii="方正仿宋_GBK" w:hAnsi="宋体" w:cs="宋体"/>
                <w:kern w:val="0"/>
                <w:sz w:val="21"/>
                <w:szCs w:val="21"/>
              </w:rPr>
            </w:pPr>
          </w:p>
        </w:tc>
        <w:tc>
          <w:tcPr>
            <w:tcW w:w="1984" w:type="dxa"/>
            <w:noWrap w:val="0"/>
            <w:vAlign w:val="center"/>
          </w:tcPr>
          <w:p w14:paraId="52FBB169">
            <w:pPr>
              <w:ind w:firstLine="0" w:firstLineChars="0"/>
              <w:rPr>
                <w:rFonts w:hint="eastAsia" w:ascii="方正仿宋_GBK" w:hAnsi="宋体" w:cs="仿宋_GB2312"/>
                <w:sz w:val="21"/>
                <w:szCs w:val="21"/>
                <w:lang w:val="zh-CN"/>
              </w:rPr>
            </w:pPr>
            <w:r>
              <w:rPr>
                <w:rFonts w:hint="eastAsia" w:ascii="方正仿宋_GBK" w:hAnsi="宋体"/>
                <w:sz w:val="21"/>
                <w:szCs w:val="21"/>
              </w:rPr>
              <w:t>报价唯一</w:t>
            </w:r>
          </w:p>
        </w:tc>
        <w:tc>
          <w:tcPr>
            <w:tcW w:w="5409" w:type="dxa"/>
            <w:noWrap w:val="0"/>
            <w:vAlign w:val="center"/>
          </w:tcPr>
          <w:p w14:paraId="2692EFA8">
            <w:pPr>
              <w:ind w:firstLine="0" w:firstLineChars="0"/>
              <w:rPr>
                <w:rFonts w:hint="eastAsia" w:ascii="方正仿宋_GBK" w:hAnsi="宋体" w:cs="宋体"/>
                <w:kern w:val="0"/>
                <w:sz w:val="21"/>
                <w:szCs w:val="21"/>
              </w:rPr>
            </w:pPr>
            <w:r>
              <w:rPr>
                <w:rFonts w:hint="eastAsia" w:ascii="方正仿宋_GBK" w:hAnsi="宋体"/>
                <w:sz w:val="21"/>
                <w:szCs w:val="21"/>
              </w:rPr>
              <w:t>只能有一个有效报价，不得提交选择性报价。</w:t>
            </w:r>
          </w:p>
        </w:tc>
      </w:tr>
      <w:tr w14:paraId="7C9F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noWrap w:val="0"/>
            <w:vAlign w:val="center"/>
          </w:tcPr>
          <w:p w14:paraId="321C1BEC">
            <w:pPr>
              <w:ind w:firstLine="0" w:firstLineChars="0"/>
              <w:jc w:val="center"/>
              <w:rPr>
                <w:rFonts w:hint="eastAsia" w:ascii="方正仿宋_GBK" w:hAnsi="宋体" w:cs="宋体"/>
                <w:kern w:val="0"/>
                <w:sz w:val="21"/>
                <w:szCs w:val="21"/>
              </w:rPr>
            </w:pPr>
            <w:r>
              <w:rPr>
                <w:rFonts w:hint="eastAsia" w:ascii="方正仿宋_GBK" w:hAnsi="宋体" w:cs="宋体"/>
                <w:kern w:val="0"/>
                <w:sz w:val="21"/>
                <w:szCs w:val="21"/>
              </w:rPr>
              <w:t>2</w:t>
            </w:r>
          </w:p>
        </w:tc>
        <w:tc>
          <w:tcPr>
            <w:tcW w:w="1560" w:type="dxa"/>
            <w:noWrap w:val="0"/>
            <w:vAlign w:val="center"/>
          </w:tcPr>
          <w:p w14:paraId="6C9CAC8A">
            <w:pPr>
              <w:ind w:firstLine="0" w:firstLineChars="0"/>
              <w:rPr>
                <w:rFonts w:hint="eastAsia" w:ascii="方正仿宋_GBK" w:hAnsi="宋体" w:cs="宋体"/>
                <w:kern w:val="0"/>
                <w:sz w:val="21"/>
                <w:szCs w:val="21"/>
              </w:rPr>
            </w:pPr>
            <w:r>
              <w:rPr>
                <w:rFonts w:hint="eastAsia" w:ascii="方正仿宋_GBK" w:hAnsi="宋体" w:cs="宋体"/>
                <w:kern w:val="0"/>
                <w:sz w:val="21"/>
                <w:szCs w:val="21"/>
              </w:rPr>
              <w:t>完整性审查</w:t>
            </w:r>
          </w:p>
        </w:tc>
        <w:tc>
          <w:tcPr>
            <w:tcW w:w="1984" w:type="dxa"/>
            <w:noWrap w:val="0"/>
            <w:vAlign w:val="center"/>
          </w:tcPr>
          <w:p w14:paraId="0A3C0371">
            <w:pPr>
              <w:ind w:firstLine="0" w:firstLineChars="0"/>
              <w:rPr>
                <w:rFonts w:hint="eastAsia" w:ascii="方正仿宋_GBK" w:hAnsi="宋体" w:cs="宋体"/>
                <w:kern w:val="0"/>
                <w:sz w:val="21"/>
                <w:szCs w:val="21"/>
              </w:rPr>
            </w:pPr>
            <w:r>
              <w:rPr>
                <w:rFonts w:hint="eastAsia" w:ascii="方正仿宋_GBK" w:hAnsi="宋体" w:cs="仿宋_GB2312"/>
                <w:sz w:val="21"/>
                <w:szCs w:val="21"/>
              </w:rPr>
              <w:t>竞选文件</w:t>
            </w:r>
            <w:r>
              <w:rPr>
                <w:rFonts w:hint="eastAsia" w:ascii="方正仿宋_GBK" w:hAnsi="宋体" w:cs="仿宋_GB2312"/>
                <w:sz w:val="21"/>
                <w:szCs w:val="21"/>
                <w:lang w:val="zh-CN"/>
              </w:rPr>
              <w:t>份数</w:t>
            </w:r>
          </w:p>
        </w:tc>
        <w:tc>
          <w:tcPr>
            <w:tcW w:w="5409" w:type="dxa"/>
            <w:noWrap w:val="0"/>
            <w:vAlign w:val="center"/>
          </w:tcPr>
          <w:p w14:paraId="589E17CB">
            <w:pPr>
              <w:ind w:firstLine="0" w:firstLineChars="0"/>
              <w:rPr>
                <w:rFonts w:hint="eastAsia" w:ascii="方正仿宋_GBK" w:hAnsi="宋体" w:cs="宋体"/>
                <w:kern w:val="0"/>
                <w:sz w:val="21"/>
                <w:szCs w:val="21"/>
              </w:rPr>
            </w:pPr>
            <w:r>
              <w:rPr>
                <w:rFonts w:hint="eastAsia" w:ascii="方正仿宋_GBK" w:hAnsi="宋体" w:cs="仿宋_GB2312"/>
                <w:sz w:val="21"/>
                <w:szCs w:val="21"/>
              </w:rPr>
              <w:t>竞选文件</w:t>
            </w:r>
            <w:r>
              <w:rPr>
                <w:rFonts w:hint="eastAsia" w:ascii="方正仿宋_GBK" w:hAnsi="宋体" w:cs="仿宋_GB2312"/>
                <w:sz w:val="21"/>
                <w:szCs w:val="21"/>
                <w:lang w:val="zh-CN"/>
              </w:rPr>
              <w:t>正、副本数量（含电子文档）符合</w:t>
            </w:r>
            <w:r>
              <w:rPr>
                <w:rFonts w:hint="eastAsia" w:ascii="方正仿宋_GBK" w:hAnsi="宋体" w:cs="仿宋_GB2312"/>
                <w:sz w:val="21"/>
                <w:szCs w:val="21"/>
              </w:rPr>
              <w:t>竞争性比选</w:t>
            </w:r>
            <w:r>
              <w:rPr>
                <w:rFonts w:hint="eastAsia" w:ascii="方正仿宋_GBK" w:hAnsi="宋体" w:cs="仿宋_GB2312"/>
                <w:sz w:val="21"/>
                <w:szCs w:val="21"/>
                <w:lang w:val="zh-CN"/>
              </w:rPr>
              <w:t>文件要求。</w:t>
            </w:r>
          </w:p>
        </w:tc>
      </w:tr>
      <w:tr w14:paraId="497D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14:paraId="1215593D">
            <w:pPr>
              <w:ind w:firstLine="0" w:firstLineChars="0"/>
              <w:jc w:val="center"/>
              <w:rPr>
                <w:rFonts w:hint="eastAsia" w:ascii="方正仿宋_GBK" w:hAnsi="宋体" w:cs="宋体"/>
                <w:kern w:val="0"/>
                <w:sz w:val="21"/>
                <w:szCs w:val="21"/>
              </w:rPr>
            </w:pPr>
            <w:r>
              <w:rPr>
                <w:rFonts w:hint="eastAsia" w:ascii="方正仿宋_GBK" w:hAnsi="宋体" w:cs="宋体"/>
                <w:kern w:val="0"/>
                <w:sz w:val="21"/>
                <w:szCs w:val="21"/>
              </w:rPr>
              <w:t>3</w:t>
            </w:r>
          </w:p>
        </w:tc>
        <w:tc>
          <w:tcPr>
            <w:tcW w:w="1560" w:type="dxa"/>
            <w:vMerge w:val="restart"/>
            <w:noWrap w:val="0"/>
            <w:vAlign w:val="center"/>
          </w:tcPr>
          <w:p w14:paraId="3A613881">
            <w:pPr>
              <w:ind w:firstLine="0" w:firstLineChars="0"/>
              <w:rPr>
                <w:rFonts w:hint="eastAsia" w:ascii="方正仿宋_GBK" w:hAnsi="宋体" w:cs="仿宋_GB2312"/>
                <w:sz w:val="21"/>
                <w:szCs w:val="21"/>
                <w:lang w:val="zh-CN"/>
              </w:rPr>
            </w:pPr>
            <w:r>
              <w:rPr>
                <w:rFonts w:hint="eastAsia" w:ascii="方正仿宋_GBK" w:hAnsi="宋体" w:cs="宋体"/>
                <w:kern w:val="0"/>
                <w:sz w:val="21"/>
                <w:szCs w:val="21"/>
              </w:rPr>
              <w:t>响应程度审查</w:t>
            </w:r>
          </w:p>
        </w:tc>
        <w:tc>
          <w:tcPr>
            <w:tcW w:w="1984" w:type="dxa"/>
            <w:noWrap w:val="0"/>
            <w:vAlign w:val="center"/>
          </w:tcPr>
          <w:p w14:paraId="55BDEF3F">
            <w:pPr>
              <w:ind w:firstLine="0" w:firstLineChars="0"/>
              <w:rPr>
                <w:rFonts w:hint="eastAsia" w:ascii="方正仿宋_GBK" w:hAnsi="宋体" w:cs="宋体"/>
                <w:kern w:val="0"/>
                <w:sz w:val="21"/>
                <w:szCs w:val="21"/>
              </w:rPr>
            </w:pPr>
            <w:r>
              <w:rPr>
                <w:rFonts w:hint="eastAsia" w:ascii="方正仿宋_GBK" w:hAnsi="宋体" w:cs="宋体"/>
                <w:kern w:val="0"/>
                <w:sz w:val="21"/>
                <w:szCs w:val="21"/>
              </w:rPr>
              <w:t>实质性响应</w:t>
            </w:r>
          </w:p>
        </w:tc>
        <w:tc>
          <w:tcPr>
            <w:tcW w:w="5409" w:type="dxa"/>
            <w:noWrap w:val="0"/>
            <w:vAlign w:val="center"/>
          </w:tcPr>
          <w:p w14:paraId="704986CC">
            <w:pPr>
              <w:pStyle w:val="33"/>
              <w:ind w:firstLine="0" w:firstLineChars="0"/>
              <w:rPr>
                <w:rFonts w:hint="eastAsia" w:ascii="方正仿宋_GBK" w:hAnsi="宋体" w:cs="宋体"/>
                <w:kern w:val="0"/>
                <w:sz w:val="21"/>
                <w:szCs w:val="21"/>
              </w:rPr>
            </w:pPr>
            <w:r>
              <w:rPr>
                <w:rFonts w:hint="eastAsia" w:ascii="方正仿宋_GBK" w:hAnsi="宋体" w:cs="宋体"/>
                <w:kern w:val="0"/>
                <w:sz w:val="21"/>
                <w:szCs w:val="21"/>
              </w:rPr>
              <w:t>竞争性比选文件第二篇、第三篇“</w:t>
            </w:r>
            <w:r>
              <w:rPr>
                <w:rFonts w:hint="eastAsia" w:ascii="方正仿宋_GBK" w:hAnsi="宋体"/>
              </w:rPr>
              <w:t>※</w:t>
            </w:r>
            <w:r>
              <w:rPr>
                <w:rFonts w:hint="eastAsia" w:ascii="方正仿宋_GBK" w:hAnsi="宋体" w:cs="宋体"/>
                <w:kern w:val="0"/>
                <w:sz w:val="21"/>
                <w:szCs w:val="21"/>
              </w:rPr>
              <w:t>”标注部分。</w:t>
            </w:r>
          </w:p>
        </w:tc>
      </w:tr>
      <w:tr w14:paraId="6523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noWrap w:val="0"/>
            <w:vAlign w:val="center"/>
          </w:tcPr>
          <w:p w14:paraId="31C270DA">
            <w:pPr>
              <w:ind w:firstLine="0" w:firstLineChars="0"/>
              <w:jc w:val="center"/>
              <w:rPr>
                <w:rFonts w:hint="eastAsia" w:ascii="方正仿宋_GBK" w:hAnsi="宋体" w:cs="宋体"/>
                <w:kern w:val="0"/>
                <w:sz w:val="21"/>
                <w:szCs w:val="21"/>
              </w:rPr>
            </w:pPr>
          </w:p>
        </w:tc>
        <w:tc>
          <w:tcPr>
            <w:tcW w:w="1560" w:type="dxa"/>
            <w:vMerge w:val="continue"/>
            <w:noWrap w:val="0"/>
            <w:vAlign w:val="center"/>
          </w:tcPr>
          <w:p w14:paraId="568BAC50">
            <w:pPr>
              <w:ind w:firstLine="0" w:firstLineChars="0"/>
              <w:rPr>
                <w:rFonts w:hint="eastAsia" w:ascii="方正仿宋_GBK" w:hAnsi="宋体" w:cs="仿宋_GB2312"/>
                <w:sz w:val="21"/>
                <w:szCs w:val="21"/>
                <w:lang w:val="zh-CN"/>
              </w:rPr>
            </w:pPr>
          </w:p>
        </w:tc>
        <w:tc>
          <w:tcPr>
            <w:tcW w:w="1984" w:type="dxa"/>
            <w:noWrap w:val="0"/>
            <w:vAlign w:val="center"/>
          </w:tcPr>
          <w:p w14:paraId="7077B2BE">
            <w:pPr>
              <w:ind w:firstLine="0" w:firstLineChars="0"/>
              <w:rPr>
                <w:rFonts w:hint="eastAsia" w:ascii="方正仿宋_GBK" w:hAnsi="宋体" w:cs="宋体"/>
                <w:kern w:val="0"/>
                <w:sz w:val="21"/>
                <w:szCs w:val="21"/>
              </w:rPr>
            </w:pPr>
            <w:r>
              <w:rPr>
                <w:rFonts w:hint="eastAsia" w:ascii="方正仿宋_GBK" w:hAnsi="宋体" w:cs="宋体"/>
                <w:kern w:val="0"/>
                <w:sz w:val="21"/>
                <w:szCs w:val="21"/>
              </w:rPr>
              <w:t>比选有效期</w:t>
            </w:r>
          </w:p>
        </w:tc>
        <w:tc>
          <w:tcPr>
            <w:tcW w:w="5409" w:type="dxa"/>
            <w:noWrap w:val="0"/>
            <w:vAlign w:val="center"/>
          </w:tcPr>
          <w:p w14:paraId="35747D6A">
            <w:pPr>
              <w:ind w:firstLine="0" w:firstLineChars="0"/>
              <w:rPr>
                <w:rFonts w:hint="eastAsia" w:ascii="方正仿宋_GBK" w:hAnsi="宋体" w:cs="宋体"/>
                <w:kern w:val="0"/>
                <w:sz w:val="21"/>
                <w:szCs w:val="21"/>
              </w:rPr>
            </w:pPr>
            <w:r>
              <w:rPr>
                <w:rFonts w:hint="eastAsia" w:ascii="方正仿宋_GBK" w:hAnsi="宋体" w:cs="宋体"/>
                <w:kern w:val="0"/>
                <w:sz w:val="21"/>
                <w:szCs w:val="21"/>
              </w:rPr>
              <w:t>竞选文件及有关承诺文件有效期为提交竞选文件截止时间起90天。</w:t>
            </w:r>
          </w:p>
        </w:tc>
      </w:tr>
    </w:tbl>
    <w:p w14:paraId="313E76B6">
      <w:pPr>
        <w:rPr>
          <w:rFonts w:hint="eastAsia" w:ascii="方正仿宋_GBK" w:hAnsi="宋体"/>
        </w:rPr>
      </w:pPr>
      <w:r>
        <w:rPr>
          <w:rFonts w:hint="eastAsia" w:ascii="方正仿宋_GBK" w:hAnsi="宋体"/>
        </w:rPr>
        <w:t>（三）澄清有关问题。比选小组在对竞选文件的有效性、完整性和响应程度进行审查时，可以要求竞选人对竞选文件中含义不明确、同类问题表述不一致或者有明显文字和计算错误的内容等作出必要的澄清、说明或者更正。竞选人的澄清、说明或者更正不得超出竞选文件的范围或者改变竞选文件的实质性内容。</w:t>
      </w:r>
    </w:p>
    <w:p w14:paraId="4B27E5DB">
      <w:pPr>
        <w:rPr>
          <w:rFonts w:hint="eastAsia" w:ascii="方正仿宋_GBK" w:hAnsi="宋体"/>
        </w:rPr>
      </w:pPr>
      <w:r>
        <w:rPr>
          <w:rFonts w:hint="eastAsia" w:ascii="方正仿宋_GBK" w:hAnsi="宋体"/>
        </w:rPr>
        <w:t>（四）比选小组要求竞选人澄清、说明或者更正竞选文件应当以书面形式作出。竞选人的澄清、说明或者更正应当由法定代表人（或其授权代表）或自然人（竞选人为自然人）签署或者加盖公章。由授权代表签署的，应当附法定代表人授权书。竞选人为自然人的，应当由本人签署并附身份证明。</w:t>
      </w:r>
    </w:p>
    <w:p w14:paraId="17E0B06D">
      <w:pPr>
        <w:rPr>
          <w:rFonts w:hint="eastAsia" w:ascii="方正仿宋_GBK" w:hAnsi="宋体"/>
        </w:rPr>
      </w:pPr>
      <w:r>
        <w:rPr>
          <w:rFonts w:hint="eastAsia" w:ascii="方正仿宋_GBK" w:hAnsi="宋体"/>
        </w:rPr>
        <w:t>（五）在比选过程中比选的任何一方不得向他人透露与比选有关的服务资料、价格或其他信息。</w:t>
      </w:r>
    </w:p>
    <w:p w14:paraId="2BAC7EE4">
      <w:pPr>
        <w:rPr>
          <w:rFonts w:hint="eastAsia" w:ascii="方正仿宋_GBK" w:hAnsi="宋体"/>
        </w:rPr>
      </w:pPr>
      <w:r>
        <w:rPr>
          <w:rFonts w:hint="eastAsia" w:ascii="方正仿宋_GBK" w:hAnsi="宋体"/>
        </w:rPr>
        <w:t>（六）竞选人在比选时作出的所有书面承诺须由法定代表人（或其授权代表）或自然人（竞选人为自然人）签署。</w:t>
      </w:r>
    </w:p>
    <w:p w14:paraId="00B06FC8">
      <w:pPr>
        <w:rPr>
          <w:rFonts w:hint="eastAsia" w:ascii="方正仿宋_GBK" w:hAnsi="宋体"/>
        </w:rPr>
      </w:pPr>
      <w:r>
        <w:rPr>
          <w:rFonts w:hint="eastAsia" w:ascii="方正仿宋_GBK" w:hAnsi="宋体"/>
        </w:rPr>
        <w:t>（七）比选小组采用综合评分法对竞选人的竞选文件和报价进行综合评分。综合评分法，是指竞选文件满足竞争性比选文件全部实质性要求且按照评审因素的量化指标评审得分最高的竞选人为成交候选竞选人的评审方法。竞选人总得分为价格、服务、商务等评定因素分别按照相应权重值计算分项得分后相加，满分为100分。</w:t>
      </w:r>
    </w:p>
    <w:p w14:paraId="3EBEA557">
      <w:pPr>
        <w:rPr>
          <w:rFonts w:hint="eastAsia" w:ascii="方正仿宋_GBK" w:hAnsi="宋体"/>
        </w:rPr>
      </w:pPr>
      <w:r>
        <w:rPr>
          <w:rFonts w:hint="eastAsia" w:ascii="方正仿宋_GBK" w:hAnsi="宋体"/>
        </w:rPr>
        <w:t>（十）比选小组各成员独立对每个有效响应（通过资格性审查、</w:t>
      </w:r>
      <w:r>
        <w:rPr>
          <w:rFonts w:hint="eastAsia" w:ascii="方正仿宋_GBK" w:hAnsi="宋体" w:cs="宋体"/>
          <w:kern w:val="0"/>
        </w:rPr>
        <w:t>符合性审查的竞选人</w:t>
      </w:r>
      <w:r>
        <w:rPr>
          <w:rFonts w:hint="eastAsia" w:ascii="方正仿宋_GBK" w:hAnsi="宋体"/>
        </w:rPr>
        <w:t>）的文件进行评价、打分，然后汇总每个竞选人每项评分因素的得分，并根据综合评分情况按照评审得分由高到低顺序推荐3名以上成交候选竞选人，并编写评审报告。若竞选人的评审得分相同的，按照竞选报价由低到高的顺序排列推荐。评审得分且竞选报价相同的，按照服务指标优劣顺序排列推荐。以上都相同的，按业绩金额的优劣顺序排列推荐。</w:t>
      </w:r>
    </w:p>
    <w:p w14:paraId="241893DA">
      <w:pPr>
        <w:pStyle w:val="3"/>
        <w:adjustRightInd w:val="0"/>
        <w:spacing w:before="0" w:after="0" w:line="400" w:lineRule="exact"/>
        <w:ind w:firstLine="482"/>
        <w:rPr>
          <w:rFonts w:ascii="方正仿宋_GBK" w:hAnsi="宋体" w:eastAsia="方正仿宋_GBK"/>
          <w:sz w:val="24"/>
        </w:rPr>
      </w:pPr>
      <w:bookmarkStart w:id="45" w:name="_Toc1788"/>
      <w:bookmarkStart w:id="46" w:name="_Toc76462334"/>
      <w:r>
        <w:rPr>
          <w:rFonts w:hint="eastAsia" w:ascii="方正仿宋_GBK" w:hAnsi="宋体" w:eastAsia="方正仿宋_GBK"/>
          <w:sz w:val="24"/>
        </w:rPr>
        <w:t>二、</w:t>
      </w:r>
      <w:bookmarkStart w:id="47" w:name="_Toc342913394"/>
      <w:bookmarkStart w:id="48" w:name="_Toc102227320"/>
      <w:r>
        <w:rPr>
          <w:rFonts w:hint="eastAsia" w:ascii="方正仿宋_GBK" w:hAnsi="宋体" w:eastAsia="方正仿宋_GBK"/>
          <w:sz w:val="24"/>
        </w:rPr>
        <w:t>评审标准</w:t>
      </w:r>
      <w:bookmarkEnd w:id="45"/>
      <w:bookmarkEnd w:id="46"/>
    </w:p>
    <w:tbl>
      <w:tblPr>
        <w:tblStyle w:val="58"/>
        <w:tblW w:w="9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860"/>
        <w:gridCol w:w="1061"/>
        <w:gridCol w:w="4284"/>
        <w:gridCol w:w="3165"/>
      </w:tblGrid>
      <w:tr w14:paraId="3531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val="0"/>
            <w:vAlign w:val="center"/>
          </w:tcPr>
          <w:p w14:paraId="1CF5EF9C">
            <w:pPr>
              <w:spacing w:line="240" w:lineRule="auto"/>
              <w:ind w:firstLine="0" w:firstLineChars="0"/>
              <w:jc w:val="center"/>
              <w:rPr>
                <w:rFonts w:hint="eastAsia" w:cs="仿宋"/>
                <w:b/>
                <w:sz w:val="24"/>
                <w:szCs w:val="24"/>
              </w:rPr>
            </w:pPr>
            <w:r>
              <w:rPr>
                <w:rFonts w:hint="eastAsia" w:cs="仿宋"/>
                <w:b/>
                <w:sz w:val="24"/>
                <w:szCs w:val="24"/>
              </w:rPr>
              <w:t>序号</w:t>
            </w:r>
          </w:p>
        </w:tc>
        <w:tc>
          <w:tcPr>
            <w:tcW w:w="860" w:type="dxa"/>
            <w:noWrap w:val="0"/>
            <w:vAlign w:val="center"/>
          </w:tcPr>
          <w:p w14:paraId="17319519">
            <w:pPr>
              <w:spacing w:line="240" w:lineRule="auto"/>
              <w:ind w:firstLine="0" w:firstLineChars="0"/>
              <w:jc w:val="center"/>
              <w:rPr>
                <w:rFonts w:hint="eastAsia" w:cs="仿宋"/>
                <w:b/>
                <w:sz w:val="24"/>
                <w:szCs w:val="24"/>
              </w:rPr>
            </w:pPr>
            <w:r>
              <w:rPr>
                <w:rFonts w:hint="eastAsia" w:cs="仿宋"/>
                <w:b/>
                <w:sz w:val="24"/>
                <w:szCs w:val="24"/>
              </w:rPr>
              <w:t>评分因素</w:t>
            </w:r>
          </w:p>
          <w:p w14:paraId="0D9B9184">
            <w:pPr>
              <w:spacing w:line="240" w:lineRule="auto"/>
              <w:ind w:firstLine="0" w:firstLineChars="0"/>
              <w:jc w:val="center"/>
              <w:rPr>
                <w:rFonts w:hint="eastAsia" w:cs="仿宋"/>
                <w:b/>
                <w:sz w:val="24"/>
                <w:szCs w:val="24"/>
              </w:rPr>
            </w:pPr>
            <w:r>
              <w:rPr>
                <w:rFonts w:hint="eastAsia" w:cs="仿宋"/>
                <w:b/>
                <w:sz w:val="24"/>
                <w:szCs w:val="24"/>
              </w:rPr>
              <w:t>及权值</w:t>
            </w:r>
          </w:p>
        </w:tc>
        <w:tc>
          <w:tcPr>
            <w:tcW w:w="1061" w:type="dxa"/>
            <w:noWrap w:val="0"/>
            <w:vAlign w:val="center"/>
          </w:tcPr>
          <w:p w14:paraId="21B7EC12">
            <w:pPr>
              <w:spacing w:line="240" w:lineRule="auto"/>
              <w:ind w:firstLine="0" w:firstLineChars="0"/>
              <w:jc w:val="center"/>
              <w:rPr>
                <w:rFonts w:hint="eastAsia" w:cs="仿宋"/>
                <w:b/>
                <w:sz w:val="24"/>
                <w:szCs w:val="24"/>
              </w:rPr>
            </w:pPr>
            <w:r>
              <w:rPr>
                <w:rFonts w:hint="eastAsia" w:cs="仿宋"/>
                <w:b/>
                <w:sz w:val="24"/>
                <w:szCs w:val="24"/>
              </w:rPr>
              <w:t>分值</w:t>
            </w:r>
          </w:p>
        </w:tc>
        <w:tc>
          <w:tcPr>
            <w:tcW w:w="4284" w:type="dxa"/>
            <w:noWrap w:val="0"/>
            <w:vAlign w:val="center"/>
          </w:tcPr>
          <w:p w14:paraId="1E8C1AD2">
            <w:pPr>
              <w:spacing w:line="240" w:lineRule="auto"/>
              <w:ind w:firstLine="0" w:firstLineChars="0"/>
              <w:jc w:val="center"/>
              <w:rPr>
                <w:rFonts w:hint="eastAsia" w:cs="仿宋"/>
                <w:b/>
                <w:sz w:val="24"/>
                <w:szCs w:val="24"/>
              </w:rPr>
            </w:pPr>
            <w:r>
              <w:rPr>
                <w:rFonts w:hint="eastAsia" w:cs="仿宋"/>
                <w:b/>
                <w:sz w:val="24"/>
                <w:szCs w:val="24"/>
              </w:rPr>
              <w:t>评分标准</w:t>
            </w:r>
          </w:p>
        </w:tc>
        <w:tc>
          <w:tcPr>
            <w:tcW w:w="3165" w:type="dxa"/>
            <w:noWrap w:val="0"/>
            <w:vAlign w:val="center"/>
          </w:tcPr>
          <w:p w14:paraId="36C11A95">
            <w:pPr>
              <w:pStyle w:val="236"/>
              <w:spacing w:before="0" w:after="0" w:line="240" w:lineRule="auto"/>
              <w:ind w:firstLine="0" w:firstLineChars="0"/>
              <w:rPr>
                <w:rFonts w:hint="eastAsia" w:eastAsia="仿宋" w:cs="仿宋"/>
                <w:sz w:val="24"/>
                <w:szCs w:val="24"/>
              </w:rPr>
            </w:pPr>
            <w:r>
              <w:rPr>
                <w:rFonts w:hint="eastAsia" w:eastAsia="仿宋" w:cs="仿宋"/>
                <w:sz w:val="24"/>
                <w:szCs w:val="24"/>
              </w:rPr>
              <w:t>说明</w:t>
            </w:r>
          </w:p>
        </w:tc>
      </w:tr>
      <w:tr w14:paraId="7A7A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noWrap w:val="0"/>
            <w:vAlign w:val="center"/>
          </w:tcPr>
          <w:p w14:paraId="7C266E17">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860" w:type="dxa"/>
            <w:noWrap w:val="0"/>
            <w:vAlign w:val="center"/>
          </w:tcPr>
          <w:p w14:paraId="4B255CFE">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竞选总报价</w:t>
            </w:r>
          </w:p>
          <w:p w14:paraId="704C621F">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0%）</w:t>
            </w:r>
          </w:p>
        </w:tc>
        <w:tc>
          <w:tcPr>
            <w:tcW w:w="1061" w:type="dxa"/>
            <w:noWrap w:val="0"/>
            <w:vAlign w:val="center"/>
          </w:tcPr>
          <w:p w14:paraId="6DC03342">
            <w:pPr>
              <w:pStyle w:val="238"/>
              <w:spacing w:line="240" w:lineRule="auto"/>
              <w:rPr>
                <w:rFonts w:hint="eastAsia" w:eastAsia="仿宋" w:cs="仿宋"/>
                <w:sz w:val="24"/>
                <w:szCs w:val="24"/>
              </w:rPr>
            </w:pPr>
            <w:r>
              <w:rPr>
                <w:rFonts w:hint="eastAsia" w:eastAsia="仿宋" w:cs="仿宋"/>
                <w:sz w:val="24"/>
                <w:szCs w:val="24"/>
                <w:lang w:val="en-US" w:eastAsia="zh-CN"/>
              </w:rPr>
              <w:t>4</w:t>
            </w:r>
            <w:r>
              <w:rPr>
                <w:rFonts w:hint="eastAsia" w:eastAsia="仿宋" w:cs="仿宋"/>
                <w:sz w:val="24"/>
                <w:szCs w:val="24"/>
              </w:rPr>
              <w:t>0分</w:t>
            </w:r>
          </w:p>
        </w:tc>
        <w:tc>
          <w:tcPr>
            <w:tcW w:w="4284" w:type="dxa"/>
            <w:noWrap w:val="0"/>
            <w:vAlign w:val="center"/>
          </w:tcPr>
          <w:p w14:paraId="57E77347">
            <w:pPr>
              <w:wordWrap w:val="0"/>
              <w:topLinePunct/>
              <w:spacing w:after="24" w:afterLines="10" w:line="240" w:lineRule="auto"/>
              <w:ind w:firstLine="440"/>
              <w:jc w:val="left"/>
              <w:rPr>
                <w:rFonts w:hint="eastAsia" w:cs="宋体"/>
                <w:sz w:val="24"/>
                <w:szCs w:val="24"/>
                <w:u w:val="none"/>
              </w:rPr>
            </w:pPr>
            <w:r>
              <w:rPr>
                <w:rFonts w:hint="eastAsia" w:cs="宋体"/>
                <w:sz w:val="24"/>
                <w:szCs w:val="24"/>
                <w:u w:val="none"/>
              </w:rPr>
              <w:t>所有通过资格性审查、符合性审查的</w:t>
            </w:r>
            <w:r>
              <w:rPr>
                <w:rFonts w:hint="eastAsia" w:cs="宋体"/>
                <w:sz w:val="24"/>
                <w:szCs w:val="24"/>
                <w:u w:val="none"/>
                <w:lang w:val="en-US" w:eastAsia="zh-CN"/>
              </w:rPr>
              <w:t>竞选人</w:t>
            </w:r>
            <w:r>
              <w:rPr>
                <w:rFonts w:hint="eastAsia" w:cs="宋体"/>
                <w:sz w:val="24"/>
                <w:szCs w:val="24"/>
                <w:u w:val="none"/>
              </w:rPr>
              <w:t>的</w:t>
            </w:r>
            <w:r>
              <w:rPr>
                <w:rFonts w:hint="eastAsia" w:cs="宋体"/>
                <w:sz w:val="24"/>
                <w:szCs w:val="24"/>
                <w:u w:val="none"/>
                <w:lang w:val="en-US" w:eastAsia="zh-CN"/>
              </w:rPr>
              <w:t>竞选</w:t>
            </w:r>
            <w:r>
              <w:rPr>
                <w:rFonts w:hint="eastAsia" w:cs="宋体"/>
                <w:sz w:val="24"/>
                <w:szCs w:val="24"/>
                <w:u w:val="none"/>
              </w:rPr>
              <w:t>总报价中去掉六分之一（不能整除的按小数点前整数取整，不足六家报价则不去掉）的最低价和相同家数的最高价后的算术平均值与本项目最高限价再取平均值，即为本项目</w:t>
            </w:r>
            <w:r>
              <w:rPr>
                <w:rFonts w:hint="eastAsia" w:cs="宋体"/>
                <w:sz w:val="24"/>
                <w:szCs w:val="24"/>
                <w:u w:val="none"/>
                <w:lang w:eastAsia="zh-CN"/>
              </w:rPr>
              <w:t>竞选</w:t>
            </w:r>
            <w:r>
              <w:rPr>
                <w:rFonts w:hint="eastAsia" w:cs="宋体"/>
                <w:sz w:val="24"/>
                <w:szCs w:val="24"/>
                <w:u w:val="none"/>
              </w:rPr>
              <w:t>总报价的评</w:t>
            </w:r>
            <w:r>
              <w:rPr>
                <w:rFonts w:hint="eastAsia" w:cs="宋体"/>
                <w:sz w:val="24"/>
                <w:szCs w:val="24"/>
                <w:u w:val="none"/>
                <w:lang w:val="en-US" w:eastAsia="zh-CN"/>
              </w:rPr>
              <w:t>审</w:t>
            </w:r>
            <w:r>
              <w:rPr>
                <w:rFonts w:hint="eastAsia" w:cs="宋体"/>
                <w:sz w:val="24"/>
                <w:szCs w:val="24"/>
                <w:u w:val="none"/>
              </w:rPr>
              <w:t>基准价。</w:t>
            </w:r>
          </w:p>
          <w:p w14:paraId="38E43B61">
            <w:pPr>
              <w:wordWrap w:val="0"/>
              <w:topLinePunct/>
              <w:spacing w:after="24" w:afterLines="10" w:line="240" w:lineRule="auto"/>
              <w:ind w:firstLine="440"/>
              <w:jc w:val="left"/>
              <w:rPr>
                <w:rFonts w:hint="eastAsia" w:cs="宋体"/>
                <w:sz w:val="24"/>
                <w:szCs w:val="24"/>
                <w:u w:val="none"/>
              </w:rPr>
            </w:pPr>
            <w:r>
              <w:rPr>
                <w:rFonts w:hint="eastAsia" w:cs="宋体"/>
                <w:sz w:val="24"/>
                <w:szCs w:val="24"/>
                <w:u w:val="none"/>
              </w:rPr>
              <w:t>评</w:t>
            </w:r>
            <w:r>
              <w:rPr>
                <w:rFonts w:hint="eastAsia" w:cs="宋体"/>
                <w:sz w:val="24"/>
                <w:szCs w:val="24"/>
                <w:u w:val="none"/>
                <w:lang w:val="en-US" w:eastAsia="zh-CN"/>
              </w:rPr>
              <w:t>审</w:t>
            </w:r>
            <w:r>
              <w:rPr>
                <w:rFonts w:hint="eastAsia" w:cs="宋体"/>
                <w:sz w:val="24"/>
                <w:szCs w:val="24"/>
                <w:u w:val="none"/>
              </w:rPr>
              <w:t>基准价计算的最终结果取小数点后两位，小数点后第三位四舍五入。</w:t>
            </w:r>
          </w:p>
          <w:p w14:paraId="1ADD40E1">
            <w:pPr>
              <w:wordWrap w:val="0"/>
              <w:topLinePunct/>
              <w:spacing w:after="24" w:afterLines="10" w:line="240" w:lineRule="auto"/>
              <w:ind w:firstLine="440"/>
              <w:jc w:val="left"/>
              <w:rPr>
                <w:rFonts w:hint="eastAsia" w:cs="宋体"/>
                <w:sz w:val="24"/>
                <w:szCs w:val="24"/>
                <w:u w:val="none"/>
              </w:rPr>
            </w:pPr>
            <w:r>
              <w:rPr>
                <w:rFonts w:hint="eastAsia" w:cs="宋体"/>
                <w:sz w:val="24"/>
                <w:szCs w:val="24"/>
                <w:u w:val="none"/>
              </w:rPr>
              <w:t>在评</w:t>
            </w:r>
            <w:r>
              <w:rPr>
                <w:rFonts w:hint="eastAsia" w:cs="宋体"/>
                <w:sz w:val="24"/>
                <w:szCs w:val="24"/>
                <w:u w:val="none"/>
                <w:lang w:val="en-US" w:eastAsia="zh-CN"/>
              </w:rPr>
              <w:t>审</w:t>
            </w:r>
            <w:r>
              <w:rPr>
                <w:rFonts w:hint="eastAsia" w:cs="宋体"/>
                <w:sz w:val="24"/>
                <w:szCs w:val="24"/>
                <w:u w:val="none"/>
              </w:rPr>
              <w:t>基准价计算完成后（除计算错误外），在后续的评审中不得再对其做出调整。</w:t>
            </w:r>
          </w:p>
          <w:p w14:paraId="7E3CB2AD">
            <w:pPr>
              <w:wordWrap w:val="0"/>
              <w:topLinePunct/>
              <w:spacing w:after="24" w:afterLines="10" w:line="240" w:lineRule="auto"/>
              <w:ind w:firstLine="440"/>
              <w:jc w:val="left"/>
              <w:rPr>
                <w:rFonts w:hint="eastAsia" w:cs="宋体"/>
                <w:sz w:val="24"/>
                <w:szCs w:val="24"/>
                <w:u w:val="none"/>
              </w:rPr>
            </w:pPr>
            <w:r>
              <w:rPr>
                <w:rFonts w:hint="eastAsia" w:cs="宋体"/>
                <w:sz w:val="24"/>
                <w:szCs w:val="24"/>
                <w:u w:val="none"/>
              </w:rPr>
              <w:t>所有通过资格性审查、符合性审查的竞选人的竞选总报价得30分。在此基础上，竞选总报价与评审基准价相比，每增加1%扣 0.25 分，每减少1%扣 0.15 分，扣完为止。</w:t>
            </w:r>
          </w:p>
          <w:p w14:paraId="420CC6FA">
            <w:pPr>
              <w:wordWrap w:val="0"/>
              <w:topLinePunct/>
              <w:spacing w:after="24" w:afterLines="10" w:line="240" w:lineRule="auto"/>
              <w:ind w:firstLine="440"/>
              <w:jc w:val="left"/>
              <w:rPr>
                <w:rFonts w:hint="eastAsia" w:cs="宋体"/>
                <w:sz w:val="24"/>
                <w:szCs w:val="24"/>
                <w:u w:val="none"/>
              </w:rPr>
            </w:pPr>
            <w:r>
              <w:rPr>
                <w:rFonts w:hint="eastAsia" w:cs="宋体"/>
                <w:sz w:val="24"/>
                <w:szCs w:val="24"/>
                <w:u w:val="none"/>
              </w:rPr>
              <w:t>按插入法计算得分。</w:t>
            </w:r>
          </w:p>
          <w:p w14:paraId="08441E2B">
            <w:pPr>
              <w:wordWrap w:val="0"/>
              <w:topLinePunct/>
              <w:spacing w:after="24" w:afterLines="10" w:line="240" w:lineRule="auto"/>
              <w:ind w:firstLine="440"/>
              <w:jc w:val="left"/>
              <w:rPr>
                <w:rFonts w:hint="eastAsia" w:cs="宋体"/>
                <w:sz w:val="24"/>
                <w:szCs w:val="24"/>
                <w:u w:val="none"/>
              </w:rPr>
            </w:pPr>
            <w:r>
              <w:rPr>
                <w:rFonts w:hint="eastAsia" w:cs="宋体"/>
                <w:sz w:val="24"/>
                <w:szCs w:val="24"/>
                <w:u w:val="none"/>
              </w:rPr>
              <w:t>未参与评审基准价计算的竞选总报价，仍应参加计算相应分值。</w:t>
            </w:r>
          </w:p>
          <w:p w14:paraId="5E08897D">
            <w:pPr>
              <w:wordWrap w:val="0"/>
              <w:topLinePunct/>
              <w:spacing w:after="24" w:afterLines="10" w:line="240" w:lineRule="auto"/>
              <w:ind w:firstLine="440"/>
              <w:jc w:val="left"/>
              <w:rPr>
                <w:rFonts w:hint="eastAsia" w:ascii="仿宋" w:hAnsi="仿宋" w:eastAsia="仿宋" w:cs="仿宋"/>
                <w:sz w:val="24"/>
                <w:szCs w:val="24"/>
                <w:u w:val="none"/>
              </w:rPr>
            </w:pPr>
            <w:r>
              <w:rPr>
                <w:rFonts w:hint="eastAsia" w:cs="宋体"/>
                <w:sz w:val="24"/>
                <w:szCs w:val="24"/>
                <w:u w:val="none"/>
              </w:rPr>
              <w:t>竞选总报价得分最终结果取小数点后两位，小数点后第三位四舍五入。</w:t>
            </w:r>
          </w:p>
        </w:tc>
        <w:tc>
          <w:tcPr>
            <w:tcW w:w="3165" w:type="dxa"/>
            <w:noWrap w:val="0"/>
            <w:vAlign w:val="center"/>
          </w:tcPr>
          <w:p w14:paraId="638C2649">
            <w:pPr>
              <w:pStyle w:val="238"/>
              <w:spacing w:line="240" w:lineRule="auto"/>
              <w:jc w:val="both"/>
              <w:rPr>
                <w:rFonts w:hint="eastAsia" w:eastAsia="仿宋" w:cs="仿宋"/>
                <w:sz w:val="24"/>
                <w:szCs w:val="24"/>
                <w:u w:val="none"/>
              </w:rPr>
            </w:pPr>
          </w:p>
        </w:tc>
      </w:tr>
      <w:tr w14:paraId="3EEC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restart"/>
            <w:noWrap w:val="0"/>
            <w:vAlign w:val="center"/>
          </w:tcPr>
          <w:p w14:paraId="69598999">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860" w:type="dxa"/>
            <w:vMerge w:val="restart"/>
            <w:noWrap w:val="0"/>
            <w:vAlign w:val="center"/>
          </w:tcPr>
          <w:p w14:paraId="58D61783">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服务部分</w:t>
            </w:r>
          </w:p>
          <w:p w14:paraId="46C2496A">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（30%）</w:t>
            </w:r>
          </w:p>
        </w:tc>
        <w:tc>
          <w:tcPr>
            <w:tcW w:w="1061" w:type="dxa"/>
            <w:noWrap w:val="0"/>
            <w:vAlign w:val="center"/>
          </w:tcPr>
          <w:p w14:paraId="53449285">
            <w:pPr>
              <w:spacing w:line="240" w:lineRule="auto"/>
              <w:ind w:firstLine="0" w:firstLineChars="0"/>
              <w:rPr>
                <w:rFonts w:hint="eastAsia" w:eastAsia="仿宋"/>
                <w:sz w:val="24"/>
                <w:szCs w:val="24"/>
                <w:lang w:eastAsia="zh-CN"/>
              </w:rPr>
            </w:pPr>
            <w:r>
              <w:rPr>
                <w:rFonts w:eastAsia="仿宋"/>
                <w:kern w:val="0"/>
                <w:sz w:val="24"/>
                <w:szCs w:val="24"/>
              </w:rPr>
              <w:t>工作流程、程序及服务方案</w:t>
            </w:r>
            <w:r>
              <w:rPr>
                <w:rFonts w:hint="eastAsia" w:eastAsia="仿宋"/>
                <w:kern w:val="0"/>
                <w:sz w:val="24"/>
                <w:szCs w:val="24"/>
                <w:lang w:eastAsia="zh-CN"/>
              </w:rPr>
              <w:t>（</w:t>
            </w:r>
            <w:r>
              <w:rPr>
                <w:rFonts w:hint="eastAsia" w:eastAsia="仿宋"/>
                <w:kern w:val="0"/>
                <w:sz w:val="24"/>
                <w:szCs w:val="24"/>
                <w:lang w:val="en-US" w:eastAsia="zh-CN"/>
              </w:rPr>
              <w:t>5分</w:t>
            </w:r>
            <w:r>
              <w:rPr>
                <w:rFonts w:hint="eastAsia" w:eastAsia="仿宋"/>
                <w:kern w:val="0"/>
                <w:sz w:val="24"/>
                <w:szCs w:val="24"/>
                <w:lang w:eastAsia="zh-CN"/>
              </w:rPr>
              <w:t>）</w:t>
            </w:r>
          </w:p>
        </w:tc>
        <w:tc>
          <w:tcPr>
            <w:tcW w:w="4284" w:type="dxa"/>
            <w:noWrap w:val="0"/>
            <w:vAlign w:val="center"/>
          </w:tcPr>
          <w:p w14:paraId="5C1E4A29">
            <w:pPr>
              <w:spacing w:line="240" w:lineRule="auto"/>
              <w:rPr>
                <w:rFonts w:eastAsia="仿宋"/>
                <w:sz w:val="24"/>
                <w:szCs w:val="24"/>
                <w:u w:val="none"/>
              </w:rPr>
            </w:pPr>
            <w:r>
              <w:rPr>
                <w:rFonts w:eastAsia="仿宋"/>
                <w:sz w:val="24"/>
                <w:szCs w:val="24"/>
                <w:u w:val="none"/>
              </w:rPr>
              <w:t xml:space="preserve"> 5分   编制要点：工作流程、程序及服务方案须包含但不限于以下要点：管理措施、作业流程与标准等。</w:t>
            </w:r>
          </w:p>
          <w:p w14:paraId="636438B3">
            <w:pPr>
              <w:spacing w:line="240" w:lineRule="auto"/>
              <w:rPr>
                <w:rFonts w:eastAsia="仿宋"/>
                <w:sz w:val="24"/>
                <w:szCs w:val="24"/>
                <w:u w:val="none"/>
              </w:rPr>
            </w:pPr>
            <w:r>
              <w:rPr>
                <w:rFonts w:eastAsia="仿宋"/>
                <w:sz w:val="24"/>
                <w:szCs w:val="24"/>
                <w:u w:val="none"/>
              </w:rPr>
              <w:t>优得5分-4.5（含）分，良得4.5（不含）分-4（含）分，一般得4（不含）分-3（含）分，差得3（不含）分-0分。</w:t>
            </w:r>
          </w:p>
        </w:tc>
        <w:tc>
          <w:tcPr>
            <w:tcW w:w="3165" w:type="dxa"/>
            <w:vMerge w:val="restart"/>
            <w:noWrap w:val="0"/>
            <w:vAlign w:val="center"/>
          </w:tcPr>
          <w:p w14:paraId="381E1CF0">
            <w:pPr>
              <w:spacing w:line="240" w:lineRule="auto"/>
              <w:ind w:firstLine="0" w:firstLineChars="0"/>
              <w:rPr>
                <w:rFonts w:hint="eastAsia" w:ascii="仿宋" w:hAnsi="仿宋" w:eastAsia="仿宋" w:cs="仿宋"/>
                <w:sz w:val="24"/>
                <w:szCs w:val="24"/>
                <w:u w:val="none"/>
              </w:rPr>
            </w:pPr>
            <w:r>
              <w:rPr>
                <w:rFonts w:hint="eastAsia" w:ascii="仿宋" w:hAnsi="仿宋" w:eastAsia="仿宋" w:cs="仿宋"/>
                <w:bCs/>
                <w:sz w:val="24"/>
                <w:szCs w:val="24"/>
                <w:u w:val="none"/>
              </w:rPr>
              <w:t>提供服务方案（格式自拟）</w:t>
            </w:r>
          </w:p>
        </w:tc>
      </w:tr>
      <w:tr w14:paraId="2CD8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noWrap w:val="0"/>
            <w:vAlign w:val="center"/>
          </w:tcPr>
          <w:p w14:paraId="675C165B">
            <w:pPr>
              <w:spacing w:line="240" w:lineRule="auto"/>
              <w:ind w:firstLine="0" w:firstLineChars="0"/>
              <w:jc w:val="center"/>
              <w:rPr>
                <w:rFonts w:hint="eastAsia" w:ascii="仿宋" w:hAnsi="仿宋" w:eastAsia="仿宋" w:cs="仿宋"/>
                <w:sz w:val="24"/>
                <w:szCs w:val="24"/>
              </w:rPr>
            </w:pPr>
          </w:p>
        </w:tc>
        <w:tc>
          <w:tcPr>
            <w:tcW w:w="860" w:type="dxa"/>
            <w:vMerge w:val="continue"/>
            <w:noWrap w:val="0"/>
            <w:vAlign w:val="center"/>
          </w:tcPr>
          <w:p w14:paraId="325C8350">
            <w:pPr>
              <w:spacing w:line="240" w:lineRule="auto"/>
              <w:ind w:firstLine="0" w:firstLineChars="0"/>
              <w:jc w:val="center"/>
              <w:rPr>
                <w:rFonts w:hint="eastAsia" w:ascii="仿宋" w:hAnsi="仿宋" w:eastAsia="仿宋" w:cs="仿宋"/>
                <w:sz w:val="24"/>
                <w:szCs w:val="24"/>
              </w:rPr>
            </w:pPr>
          </w:p>
        </w:tc>
        <w:tc>
          <w:tcPr>
            <w:tcW w:w="1061" w:type="dxa"/>
            <w:noWrap w:val="0"/>
            <w:vAlign w:val="center"/>
          </w:tcPr>
          <w:p w14:paraId="54EF2296">
            <w:pPr>
              <w:spacing w:line="240" w:lineRule="auto"/>
              <w:ind w:firstLine="0" w:firstLineChars="0"/>
              <w:rPr>
                <w:rFonts w:hint="eastAsia" w:eastAsia="仿宋"/>
                <w:sz w:val="24"/>
                <w:szCs w:val="24"/>
                <w:lang w:eastAsia="zh-CN"/>
              </w:rPr>
            </w:pPr>
            <w:r>
              <w:rPr>
                <w:rFonts w:eastAsia="仿宋"/>
                <w:sz w:val="24"/>
                <w:szCs w:val="24"/>
              </w:rPr>
              <w:t>保证服务质量的控制措施</w:t>
            </w:r>
            <w:r>
              <w:rPr>
                <w:rFonts w:hint="eastAsia" w:eastAsia="仿宋"/>
                <w:sz w:val="24"/>
                <w:szCs w:val="24"/>
                <w:lang w:eastAsia="zh-CN"/>
              </w:rPr>
              <w:t>（</w:t>
            </w:r>
            <w:r>
              <w:rPr>
                <w:rFonts w:hint="eastAsia" w:eastAsia="仿宋"/>
                <w:sz w:val="24"/>
                <w:szCs w:val="24"/>
                <w:lang w:val="en-US" w:eastAsia="zh-CN"/>
              </w:rPr>
              <w:t>8分</w:t>
            </w:r>
            <w:r>
              <w:rPr>
                <w:rFonts w:hint="eastAsia" w:eastAsia="仿宋"/>
                <w:sz w:val="24"/>
                <w:szCs w:val="24"/>
                <w:lang w:eastAsia="zh-CN"/>
              </w:rPr>
              <w:t>）</w:t>
            </w:r>
          </w:p>
        </w:tc>
        <w:tc>
          <w:tcPr>
            <w:tcW w:w="4284" w:type="dxa"/>
            <w:noWrap w:val="0"/>
            <w:vAlign w:val="center"/>
          </w:tcPr>
          <w:p w14:paraId="6F1CBE8C">
            <w:pPr>
              <w:spacing w:line="240" w:lineRule="auto"/>
              <w:rPr>
                <w:rFonts w:eastAsia="仿宋"/>
                <w:sz w:val="24"/>
                <w:szCs w:val="24"/>
                <w:u w:val="none"/>
              </w:rPr>
            </w:pPr>
            <w:r>
              <w:rPr>
                <w:rFonts w:eastAsia="仿宋"/>
                <w:sz w:val="24"/>
                <w:szCs w:val="24"/>
                <w:u w:val="none"/>
              </w:rPr>
              <w:t>8分   编制要点：保证服务质量的控制措施须包含但不限于以下要点：内部质量监管方案、内部质量监督及约束机制、内部质量监管督查措施等。</w:t>
            </w:r>
          </w:p>
          <w:p w14:paraId="5AC5002F">
            <w:pPr>
              <w:spacing w:line="240" w:lineRule="auto"/>
              <w:rPr>
                <w:rFonts w:eastAsia="仿宋"/>
                <w:sz w:val="24"/>
                <w:szCs w:val="24"/>
                <w:u w:val="none"/>
              </w:rPr>
            </w:pPr>
            <w:r>
              <w:rPr>
                <w:rFonts w:eastAsia="仿宋"/>
                <w:sz w:val="24"/>
                <w:szCs w:val="24"/>
                <w:u w:val="none"/>
              </w:rPr>
              <w:t>优得8分-7.2（含）分，良得7.2（不含）分-6.4（含）分，一般得6.4（不含）分-4.8（含）分，差得4.8（不含）分-0分。</w:t>
            </w:r>
          </w:p>
        </w:tc>
        <w:tc>
          <w:tcPr>
            <w:tcW w:w="3165" w:type="dxa"/>
            <w:vMerge w:val="continue"/>
            <w:noWrap w:val="0"/>
            <w:vAlign w:val="center"/>
          </w:tcPr>
          <w:p w14:paraId="60BD6E04">
            <w:pPr>
              <w:spacing w:line="240" w:lineRule="auto"/>
              <w:ind w:firstLine="0" w:firstLineChars="0"/>
              <w:rPr>
                <w:rFonts w:hint="eastAsia" w:ascii="仿宋" w:hAnsi="仿宋" w:eastAsia="仿宋" w:cs="仿宋"/>
                <w:sz w:val="24"/>
                <w:szCs w:val="24"/>
                <w:u w:val="none"/>
              </w:rPr>
            </w:pPr>
          </w:p>
        </w:tc>
      </w:tr>
      <w:tr w14:paraId="6C06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noWrap w:val="0"/>
            <w:vAlign w:val="center"/>
          </w:tcPr>
          <w:p w14:paraId="4EF6AE85">
            <w:pPr>
              <w:spacing w:line="240" w:lineRule="auto"/>
              <w:ind w:firstLine="0" w:firstLineChars="0"/>
              <w:jc w:val="center"/>
              <w:rPr>
                <w:rFonts w:hint="eastAsia" w:ascii="仿宋" w:hAnsi="仿宋" w:eastAsia="仿宋" w:cs="仿宋"/>
                <w:sz w:val="24"/>
                <w:szCs w:val="24"/>
              </w:rPr>
            </w:pPr>
          </w:p>
        </w:tc>
        <w:tc>
          <w:tcPr>
            <w:tcW w:w="860" w:type="dxa"/>
            <w:vMerge w:val="continue"/>
            <w:noWrap w:val="0"/>
            <w:vAlign w:val="center"/>
          </w:tcPr>
          <w:p w14:paraId="0735D522">
            <w:pPr>
              <w:spacing w:line="240" w:lineRule="auto"/>
              <w:ind w:firstLine="0" w:firstLineChars="0"/>
              <w:jc w:val="center"/>
              <w:rPr>
                <w:rFonts w:hint="eastAsia" w:ascii="仿宋" w:hAnsi="仿宋" w:eastAsia="仿宋" w:cs="仿宋"/>
                <w:sz w:val="24"/>
                <w:szCs w:val="24"/>
              </w:rPr>
            </w:pPr>
          </w:p>
        </w:tc>
        <w:tc>
          <w:tcPr>
            <w:tcW w:w="1061" w:type="dxa"/>
            <w:noWrap w:val="0"/>
            <w:vAlign w:val="center"/>
          </w:tcPr>
          <w:p w14:paraId="4F78504C">
            <w:pPr>
              <w:spacing w:line="240" w:lineRule="auto"/>
              <w:ind w:firstLine="0" w:firstLineChars="0"/>
              <w:rPr>
                <w:rFonts w:hint="eastAsia" w:eastAsia="仿宋"/>
                <w:sz w:val="24"/>
                <w:szCs w:val="24"/>
                <w:lang w:eastAsia="zh-CN"/>
              </w:rPr>
            </w:pPr>
            <w:r>
              <w:rPr>
                <w:rFonts w:eastAsia="仿宋"/>
                <w:kern w:val="0"/>
                <w:sz w:val="24"/>
                <w:szCs w:val="24"/>
              </w:rPr>
              <w:t>人员及设备投入方案</w:t>
            </w:r>
            <w:r>
              <w:rPr>
                <w:rFonts w:hint="eastAsia" w:eastAsia="仿宋"/>
                <w:kern w:val="0"/>
                <w:sz w:val="24"/>
                <w:szCs w:val="24"/>
                <w:lang w:eastAsia="zh-CN"/>
              </w:rPr>
              <w:t>（</w:t>
            </w:r>
            <w:r>
              <w:rPr>
                <w:rFonts w:hint="eastAsia" w:eastAsia="仿宋"/>
                <w:kern w:val="0"/>
                <w:sz w:val="24"/>
                <w:szCs w:val="24"/>
                <w:lang w:val="en-US" w:eastAsia="zh-CN"/>
              </w:rPr>
              <w:t>5分</w:t>
            </w:r>
            <w:r>
              <w:rPr>
                <w:rFonts w:hint="eastAsia" w:eastAsia="仿宋"/>
                <w:kern w:val="0"/>
                <w:sz w:val="24"/>
                <w:szCs w:val="24"/>
                <w:lang w:eastAsia="zh-CN"/>
              </w:rPr>
              <w:t>）</w:t>
            </w:r>
          </w:p>
        </w:tc>
        <w:tc>
          <w:tcPr>
            <w:tcW w:w="4284" w:type="dxa"/>
            <w:noWrap w:val="0"/>
            <w:vAlign w:val="center"/>
          </w:tcPr>
          <w:p w14:paraId="21B7C063">
            <w:pPr>
              <w:spacing w:line="240" w:lineRule="auto"/>
              <w:rPr>
                <w:rFonts w:eastAsia="仿宋"/>
                <w:sz w:val="24"/>
                <w:szCs w:val="24"/>
                <w:u w:val="none"/>
              </w:rPr>
            </w:pPr>
            <w:r>
              <w:rPr>
                <w:rFonts w:eastAsia="仿宋"/>
                <w:sz w:val="24"/>
                <w:szCs w:val="24"/>
                <w:u w:val="none"/>
              </w:rPr>
              <w:t>5分   编制要点：人员及设备投入方案须包含但不限于以下要点：组织机构设置、岗位职责、岗位配置、内部运行模式；设备配置清单、物资设备管理方案等等。</w:t>
            </w:r>
          </w:p>
          <w:p w14:paraId="20144175">
            <w:pPr>
              <w:spacing w:line="240" w:lineRule="auto"/>
              <w:rPr>
                <w:rFonts w:eastAsia="仿宋"/>
                <w:sz w:val="24"/>
                <w:szCs w:val="24"/>
                <w:u w:val="none"/>
              </w:rPr>
            </w:pPr>
            <w:r>
              <w:rPr>
                <w:rFonts w:eastAsia="仿宋"/>
                <w:sz w:val="24"/>
                <w:szCs w:val="24"/>
                <w:u w:val="none"/>
              </w:rPr>
              <w:t>优得5分-4.5（含）分，良得4.5（不含）分-4（含）分，一般得4（不含）分-3（含）分，差得3（不含）分-0分。</w:t>
            </w:r>
          </w:p>
        </w:tc>
        <w:tc>
          <w:tcPr>
            <w:tcW w:w="3165" w:type="dxa"/>
            <w:vMerge w:val="continue"/>
            <w:noWrap w:val="0"/>
            <w:vAlign w:val="center"/>
          </w:tcPr>
          <w:p w14:paraId="6A51FD9F">
            <w:pPr>
              <w:spacing w:line="240" w:lineRule="auto"/>
              <w:ind w:firstLine="0" w:firstLineChars="0"/>
              <w:rPr>
                <w:rFonts w:hint="eastAsia" w:ascii="仿宋" w:hAnsi="仿宋" w:eastAsia="仿宋" w:cs="仿宋"/>
                <w:sz w:val="24"/>
                <w:szCs w:val="24"/>
                <w:u w:val="none"/>
              </w:rPr>
            </w:pPr>
          </w:p>
        </w:tc>
      </w:tr>
      <w:tr w14:paraId="466D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noWrap w:val="0"/>
            <w:vAlign w:val="center"/>
          </w:tcPr>
          <w:p w14:paraId="23DB0A7B">
            <w:pPr>
              <w:spacing w:line="240" w:lineRule="auto"/>
              <w:ind w:firstLine="0" w:firstLineChars="0"/>
              <w:jc w:val="center"/>
              <w:rPr>
                <w:rFonts w:hint="eastAsia" w:ascii="仿宋" w:hAnsi="仿宋" w:eastAsia="仿宋" w:cs="仿宋"/>
                <w:sz w:val="24"/>
                <w:szCs w:val="24"/>
              </w:rPr>
            </w:pPr>
          </w:p>
        </w:tc>
        <w:tc>
          <w:tcPr>
            <w:tcW w:w="860" w:type="dxa"/>
            <w:vMerge w:val="continue"/>
            <w:noWrap w:val="0"/>
            <w:vAlign w:val="center"/>
          </w:tcPr>
          <w:p w14:paraId="0F17ED7B">
            <w:pPr>
              <w:spacing w:line="240" w:lineRule="auto"/>
              <w:ind w:firstLine="0" w:firstLineChars="0"/>
              <w:jc w:val="center"/>
              <w:rPr>
                <w:rFonts w:hint="eastAsia" w:ascii="仿宋" w:hAnsi="仿宋" w:eastAsia="仿宋" w:cs="仿宋"/>
                <w:sz w:val="24"/>
                <w:szCs w:val="24"/>
              </w:rPr>
            </w:pPr>
          </w:p>
        </w:tc>
        <w:tc>
          <w:tcPr>
            <w:tcW w:w="1061" w:type="dxa"/>
            <w:noWrap w:val="0"/>
            <w:vAlign w:val="center"/>
          </w:tcPr>
          <w:p w14:paraId="57CFCF93">
            <w:pPr>
              <w:spacing w:line="240" w:lineRule="auto"/>
              <w:ind w:firstLine="0" w:firstLineChars="0"/>
              <w:rPr>
                <w:rFonts w:hint="eastAsia" w:eastAsia="仿宋"/>
                <w:sz w:val="24"/>
                <w:szCs w:val="24"/>
                <w:lang w:eastAsia="zh-CN"/>
              </w:rPr>
            </w:pPr>
            <w:r>
              <w:rPr>
                <w:rFonts w:eastAsia="仿宋"/>
                <w:kern w:val="0"/>
                <w:sz w:val="24"/>
                <w:szCs w:val="24"/>
              </w:rPr>
              <w:t>惩罚措施及违约责任承诺</w:t>
            </w:r>
            <w:r>
              <w:rPr>
                <w:rFonts w:hint="eastAsia" w:eastAsia="仿宋"/>
                <w:kern w:val="0"/>
                <w:sz w:val="24"/>
                <w:szCs w:val="24"/>
                <w:lang w:eastAsia="zh-CN"/>
              </w:rPr>
              <w:t>（</w:t>
            </w:r>
            <w:r>
              <w:rPr>
                <w:rFonts w:hint="eastAsia" w:eastAsia="仿宋"/>
                <w:kern w:val="0"/>
                <w:sz w:val="24"/>
                <w:szCs w:val="24"/>
                <w:lang w:val="en-US" w:eastAsia="zh-CN"/>
              </w:rPr>
              <w:t>6分</w:t>
            </w:r>
            <w:r>
              <w:rPr>
                <w:rFonts w:hint="eastAsia" w:eastAsia="仿宋"/>
                <w:kern w:val="0"/>
                <w:sz w:val="24"/>
                <w:szCs w:val="24"/>
                <w:lang w:eastAsia="zh-CN"/>
              </w:rPr>
              <w:t>）</w:t>
            </w:r>
          </w:p>
        </w:tc>
        <w:tc>
          <w:tcPr>
            <w:tcW w:w="4284" w:type="dxa"/>
            <w:noWrap w:val="0"/>
            <w:vAlign w:val="center"/>
          </w:tcPr>
          <w:p w14:paraId="4FC438D3">
            <w:pPr>
              <w:spacing w:line="240" w:lineRule="auto"/>
              <w:rPr>
                <w:rFonts w:eastAsia="仿宋"/>
                <w:sz w:val="24"/>
                <w:szCs w:val="24"/>
                <w:u w:val="none"/>
              </w:rPr>
            </w:pPr>
            <w:r>
              <w:rPr>
                <w:rFonts w:eastAsia="仿宋"/>
                <w:sz w:val="24"/>
                <w:szCs w:val="24"/>
                <w:u w:val="none"/>
              </w:rPr>
              <w:t>6分   编制要点：惩罚措施及违约责任承诺须包含但不限于以下要点：明确服务标准、具体违约情形（如物品损坏、迟到等）、相应惩罚措施（如扣款、免费返工、终止合同等）及客户损失赔偿原则。</w:t>
            </w:r>
          </w:p>
          <w:p w14:paraId="16DE1F64">
            <w:pPr>
              <w:spacing w:line="240" w:lineRule="auto"/>
              <w:rPr>
                <w:rFonts w:eastAsia="仿宋"/>
                <w:sz w:val="24"/>
                <w:szCs w:val="24"/>
                <w:u w:val="none"/>
              </w:rPr>
            </w:pPr>
            <w:r>
              <w:rPr>
                <w:rFonts w:eastAsia="仿宋"/>
                <w:sz w:val="24"/>
                <w:szCs w:val="24"/>
                <w:u w:val="none"/>
              </w:rPr>
              <w:t>优得6分-5.4（含）分，良得5.4（不含）分-4.8（含）分，一般得4.8（不含）分-3.6（含）分，差得3.6（不含）分-0分。</w:t>
            </w:r>
          </w:p>
        </w:tc>
        <w:tc>
          <w:tcPr>
            <w:tcW w:w="3165" w:type="dxa"/>
            <w:vMerge w:val="continue"/>
            <w:noWrap w:val="0"/>
            <w:vAlign w:val="center"/>
          </w:tcPr>
          <w:p w14:paraId="5BF2B6D5">
            <w:pPr>
              <w:spacing w:line="240" w:lineRule="auto"/>
              <w:ind w:firstLine="0" w:firstLineChars="0"/>
              <w:rPr>
                <w:rFonts w:hint="eastAsia" w:ascii="仿宋" w:hAnsi="仿宋" w:eastAsia="仿宋" w:cs="仿宋"/>
                <w:sz w:val="24"/>
                <w:szCs w:val="24"/>
                <w:u w:val="none"/>
              </w:rPr>
            </w:pPr>
          </w:p>
        </w:tc>
      </w:tr>
      <w:tr w14:paraId="6465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noWrap w:val="0"/>
            <w:vAlign w:val="center"/>
          </w:tcPr>
          <w:p w14:paraId="006C0B1B">
            <w:pPr>
              <w:spacing w:line="240" w:lineRule="auto"/>
              <w:ind w:firstLine="0" w:firstLineChars="0"/>
              <w:jc w:val="center"/>
              <w:rPr>
                <w:rFonts w:hint="eastAsia" w:ascii="仿宋" w:hAnsi="仿宋" w:eastAsia="仿宋" w:cs="仿宋"/>
                <w:sz w:val="24"/>
                <w:szCs w:val="24"/>
              </w:rPr>
            </w:pPr>
          </w:p>
        </w:tc>
        <w:tc>
          <w:tcPr>
            <w:tcW w:w="860" w:type="dxa"/>
            <w:vMerge w:val="continue"/>
            <w:noWrap w:val="0"/>
            <w:vAlign w:val="center"/>
          </w:tcPr>
          <w:p w14:paraId="2426C551">
            <w:pPr>
              <w:spacing w:line="240" w:lineRule="auto"/>
              <w:ind w:firstLine="0" w:firstLineChars="0"/>
              <w:jc w:val="center"/>
              <w:rPr>
                <w:rFonts w:hint="eastAsia" w:ascii="仿宋" w:hAnsi="仿宋" w:eastAsia="仿宋" w:cs="仿宋"/>
                <w:sz w:val="24"/>
                <w:szCs w:val="24"/>
              </w:rPr>
            </w:pPr>
          </w:p>
        </w:tc>
        <w:tc>
          <w:tcPr>
            <w:tcW w:w="1061" w:type="dxa"/>
            <w:noWrap w:val="0"/>
            <w:vAlign w:val="center"/>
          </w:tcPr>
          <w:p w14:paraId="457A3371">
            <w:pPr>
              <w:spacing w:line="240" w:lineRule="auto"/>
              <w:ind w:firstLine="0" w:firstLineChars="0"/>
              <w:rPr>
                <w:rFonts w:hint="eastAsia" w:eastAsia="仿宋"/>
                <w:sz w:val="24"/>
                <w:szCs w:val="24"/>
                <w:lang w:eastAsia="zh-CN"/>
              </w:rPr>
            </w:pPr>
            <w:r>
              <w:rPr>
                <w:rFonts w:eastAsia="仿宋"/>
                <w:sz w:val="24"/>
                <w:szCs w:val="24"/>
              </w:rPr>
              <w:t>应急情况的处理方案</w:t>
            </w:r>
            <w:r>
              <w:rPr>
                <w:rFonts w:hint="eastAsia" w:eastAsia="仿宋"/>
                <w:sz w:val="24"/>
                <w:szCs w:val="24"/>
                <w:lang w:eastAsia="zh-CN"/>
              </w:rPr>
              <w:t>（</w:t>
            </w:r>
            <w:r>
              <w:rPr>
                <w:rFonts w:hint="eastAsia" w:eastAsia="仿宋"/>
                <w:sz w:val="24"/>
                <w:szCs w:val="24"/>
                <w:lang w:val="en-US" w:eastAsia="zh-CN"/>
              </w:rPr>
              <w:t>6分</w:t>
            </w:r>
            <w:r>
              <w:rPr>
                <w:rFonts w:hint="eastAsia" w:eastAsia="仿宋"/>
                <w:sz w:val="24"/>
                <w:szCs w:val="24"/>
                <w:lang w:eastAsia="zh-CN"/>
              </w:rPr>
              <w:t>）</w:t>
            </w:r>
          </w:p>
        </w:tc>
        <w:tc>
          <w:tcPr>
            <w:tcW w:w="4284" w:type="dxa"/>
            <w:noWrap w:val="0"/>
            <w:vAlign w:val="center"/>
          </w:tcPr>
          <w:p w14:paraId="25967401">
            <w:pPr>
              <w:spacing w:line="240" w:lineRule="auto"/>
              <w:rPr>
                <w:rFonts w:eastAsia="仿宋"/>
                <w:sz w:val="24"/>
                <w:szCs w:val="24"/>
                <w:u w:val="none"/>
              </w:rPr>
            </w:pPr>
            <w:r>
              <w:rPr>
                <w:rFonts w:eastAsia="仿宋"/>
                <w:sz w:val="24"/>
                <w:szCs w:val="24"/>
                <w:u w:val="none"/>
              </w:rPr>
              <w:t>6分   编制要点：应急情况的处理方案包含但不限于以下要点：断水断电、火灾、预防秩序服务局部或全部停摆、员工群体性事件及重大突发传染病防控的应急服务方案。</w:t>
            </w:r>
          </w:p>
          <w:p w14:paraId="5228C2FD">
            <w:pPr>
              <w:spacing w:line="240" w:lineRule="auto"/>
              <w:rPr>
                <w:rFonts w:eastAsia="仿宋"/>
                <w:sz w:val="24"/>
                <w:szCs w:val="24"/>
                <w:u w:val="none"/>
              </w:rPr>
            </w:pPr>
            <w:r>
              <w:rPr>
                <w:rFonts w:eastAsia="仿宋"/>
                <w:sz w:val="24"/>
                <w:szCs w:val="24"/>
                <w:u w:val="none"/>
              </w:rPr>
              <w:t>优得6分-5.4（含）分，良得5.4（不含）分-4.8（含）分，一般得4.8（不含）分-3.6（含）分，差得3.6（不含）分-0分。</w:t>
            </w:r>
          </w:p>
        </w:tc>
        <w:tc>
          <w:tcPr>
            <w:tcW w:w="3165" w:type="dxa"/>
            <w:vMerge w:val="continue"/>
            <w:noWrap w:val="0"/>
            <w:vAlign w:val="center"/>
          </w:tcPr>
          <w:p w14:paraId="35EF161C">
            <w:pPr>
              <w:spacing w:line="240" w:lineRule="auto"/>
              <w:ind w:firstLine="0" w:firstLineChars="0"/>
              <w:rPr>
                <w:rFonts w:hint="eastAsia" w:ascii="仿宋" w:hAnsi="仿宋" w:eastAsia="仿宋" w:cs="仿宋"/>
                <w:sz w:val="24"/>
                <w:szCs w:val="24"/>
                <w:u w:val="none"/>
              </w:rPr>
            </w:pPr>
          </w:p>
        </w:tc>
      </w:tr>
      <w:tr w14:paraId="3F77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500" w:type="dxa"/>
            <w:vMerge w:val="restart"/>
            <w:noWrap w:val="0"/>
            <w:vAlign w:val="center"/>
          </w:tcPr>
          <w:p w14:paraId="1EC622D6">
            <w:pPr>
              <w:spacing w:line="240" w:lineRule="auto"/>
              <w:ind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860" w:type="dxa"/>
            <w:vMerge w:val="restart"/>
            <w:noWrap w:val="0"/>
            <w:vAlign w:val="center"/>
          </w:tcPr>
          <w:p w14:paraId="07D4A327">
            <w:pPr>
              <w:spacing w:line="240" w:lineRule="auto"/>
              <w:ind w:firstLine="0" w:firstLineChars="0"/>
              <w:jc w:val="center"/>
              <w:rPr>
                <w:rFonts w:eastAsia="仿宋"/>
                <w:sz w:val="24"/>
                <w:szCs w:val="24"/>
              </w:rPr>
            </w:pPr>
            <w:r>
              <w:rPr>
                <w:rFonts w:eastAsia="仿宋"/>
                <w:sz w:val="24"/>
                <w:szCs w:val="24"/>
              </w:rPr>
              <w:t>商务部分</w:t>
            </w:r>
          </w:p>
          <w:p w14:paraId="53B2C626">
            <w:pPr>
              <w:spacing w:line="240" w:lineRule="auto"/>
              <w:ind w:firstLine="0" w:firstLineChars="0"/>
              <w:jc w:val="center"/>
              <w:rPr>
                <w:rFonts w:eastAsia="仿宋"/>
                <w:sz w:val="24"/>
                <w:szCs w:val="24"/>
              </w:rPr>
            </w:pPr>
            <w:r>
              <w:rPr>
                <w:rFonts w:eastAsia="仿宋"/>
                <w:sz w:val="24"/>
                <w:szCs w:val="24"/>
              </w:rPr>
              <w:t>（</w:t>
            </w:r>
            <w:r>
              <w:rPr>
                <w:rFonts w:hint="eastAsia" w:eastAsia="仿宋"/>
                <w:sz w:val="24"/>
                <w:szCs w:val="24"/>
                <w:lang w:val="en-US" w:eastAsia="zh-CN"/>
              </w:rPr>
              <w:t>3</w:t>
            </w:r>
            <w:r>
              <w:rPr>
                <w:rFonts w:eastAsia="仿宋"/>
                <w:sz w:val="24"/>
                <w:szCs w:val="24"/>
              </w:rPr>
              <w:t>0%）</w:t>
            </w:r>
          </w:p>
        </w:tc>
        <w:tc>
          <w:tcPr>
            <w:tcW w:w="1061" w:type="dxa"/>
            <w:noWrap w:val="0"/>
            <w:vAlign w:val="center"/>
          </w:tcPr>
          <w:p w14:paraId="3EF17C80">
            <w:pPr>
              <w:widowControl/>
              <w:wordWrap w:val="0"/>
              <w:topLinePunct/>
              <w:spacing w:before="100" w:beforeAutospacing="1" w:after="100" w:afterAutospacing="1" w:line="240" w:lineRule="auto"/>
              <w:ind w:firstLine="0" w:firstLineChars="0"/>
              <w:jc w:val="center"/>
              <w:rPr>
                <w:rFonts w:hint="eastAsia" w:eastAsia="仿宋"/>
                <w:sz w:val="24"/>
                <w:szCs w:val="24"/>
                <w:lang w:eastAsia="zh-CN"/>
              </w:rPr>
            </w:pPr>
            <w:r>
              <w:rPr>
                <w:rFonts w:eastAsia="仿宋"/>
                <w:kern w:val="0"/>
                <w:sz w:val="24"/>
                <w:szCs w:val="24"/>
                <w:lang w:bidi="ar"/>
              </w:rPr>
              <w:t>体系认证</w:t>
            </w:r>
            <w:r>
              <w:rPr>
                <w:rFonts w:hint="eastAsia" w:eastAsia="仿宋"/>
                <w:kern w:val="0"/>
                <w:sz w:val="24"/>
                <w:szCs w:val="24"/>
                <w:lang w:eastAsia="zh-CN" w:bidi="ar"/>
              </w:rPr>
              <w:t>（</w:t>
            </w:r>
            <w:r>
              <w:rPr>
                <w:rFonts w:hint="eastAsia" w:eastAsia="仿宋"/>
                <w:kern w:val="0"/>
                <w:sz w:val="24"/>
                <w:szCs w:val="24"/>
                <w:lang w:val="en-US" w:eastAsia="zh-CN" w:bidi="ar"/>
              </w:rPr>
              <w:t>6分</w:t>
            </w:r>
            <w:r>
              <w:rPr>
                <w:rFonts w:hint="eastAsia" w:eastAsia="仿宋"/>
                <w:kern w:val="0"/>
                <w:sz w:val="24"/>
                <w:szCs w:val="24"/>
                <w:lang w:eastAsia="zh-CN" w:bidi="ar"/>
              </w:rPr>
              <w:t>）</w:t>
            </w:r>
          </w:p>
        </w:tc>
        <w:tc>
          <w:tcPr>
            <w:tcW w:w="4284" w:type="dxa"/>
            <w:noWrap w:val="0"/>
            <w:vAlign w:val="center"/>
          </w:tcPr>
          <w:p w14:paraId="3D5115C4">
            <w:pPr>
              <w:wordWrap w:val="0"/>
              <w:topLinePunct/>
              <w:adjustRightInd w:val="0"/>
              <w:spacing w:line="240" w:lineRule="auto"/>
              <w:ind w:firstLine="475" w:firstLineChars="198"/>
              <w:rPr>
                <w:rFonts w:eastAsia="仿宋"/>
                <w:sz w:val="24"/>
                <w:szCs w:val="24"/>
                <w:u w:val="none"/>
              </w:rPr>
            </w:pPr>
            <w:r>
              <w:rPr>
                <w:rFonts w:eastAsia="仿宋"/>
                <w:sz w:val="24"/>
                <w:szCs w:val="24"/>
                <w:u w:val="none"/>
              </w:rPr>
              <w:t>具备ISO9001质量管理体系、ISO14001环境管理体系、ISO45001职业健康安全管理体系证书，每提供1个证书得2分，本项最多得6分。</w:t>
            </w:r>
          </w:p>
        </w:tc>
        <w:tc>
          <w:tcPr>
            <w:tcW w:w="3165" w:type="dxa"/>
            <w:noWrap w:val="0"/>
            <w:vAlign w:val="center"/>
          </w:tcPr>
          <w:p w14:paraId="5933E98F">
            <w:pPr>
              <w:spacing w:line="240" w:lineRule="auto"/>
              <w:ind w:firstLine="0" w:firstLineChars="0"/>
              <w:jc w:val="left"/>
              <w:rPr>
                <w:rFonts w:eastAsia="仿宋"/>
                <w:sz w:val="24"/>
                <w:szCs w:val="24"/>
                <w:u w:val="none"/>
              </w:rPr>
            </w:pPr>
            <w:r>
              <w:rPr>
                <w:rFonts w:eastAsia="仿宋"/>
                <w:kern w:val="0"/>
                <w:sz w:val="24"/>
                <w:szCs w:val="24"/>
                <w:u w:val="none"/>
              </w:rPr>
              <w:t>提供：证书复印件及全国认证认可信息公共服务平台查询截图加盖竞选人单位公章。</w:t>
            </w:r>
          </w:p>
        </w:tc>
      </w:tr>
      <w:tr w14:paraId="5CDB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6" w:hRule="atLeast"/>
        </w:trPr>
        <w:tc>
          <w:tcPr>
            <w:tcW w:w="500" w:type="dxa"/>
            <w:vMerge w:val="continue"/>
            <w:noWrap w:val="0"/>
            <w:vAlign w:val="center"/>
          </w:tcPr>
          <w:p w14:paraId="6574808F">
            <w:pPr>
              <w:spacing w:line="240" w:lineRule="auto"/>
              <w:ind w:firstLine="0" w:firstLineChars="0"/>
              <w:jc w:val="center"/>
              <w:rPr>
                <w:rFonts w:hint="eastAsia" w:ascii="仿宋" w:hAnsi="仿宋" w:eastAsia="仿宋" w:cs="仿宋"/>
                <w:sz w:val="24"/>
                <w:szCs w:val="24"/>
              </w:rPr>
            </w:pPr>
          </w:p>
        </w:tc>
        <w:tc>
          <w:tcPr>
            <w:tcW w:w="860" w:type="dxa"/>
            <w:vMerge w:val="continue"/>
            <w:noWrap w:val="0"/>
            <w:vAlign w:val="center"/>
          </w:tcPr>
          <w:p w14:paraId="2259B1B6">
            <w:pPr>
              <w:spacing w:line="240" w:lineRule="auto"/>
              <w:ind w:firstLine="0" w:firstLineChars="0"/>
              <w:jc w:val="center"/>
              <w:rPr>
                <w:rFonts w:eastAsia="仿宋"/>
                <w:sz w:val="24"/>
                <w:szCs w:val="24"/>
              </w:rPr>
            </w:pPr>
          </w:p>
        </w:tc>
        <w:tc>
          <w:tcPr>
            <w:tcW w:w="1061" w:type="dxa"/>
            <w:noWrap w:val="0"/>
            <w:vAlign w:val="center"/>
          </w:tcPr>
          <w:p w14:paraId="313B94CA">
            <w:pPr>
              <w:spacing w:line="240" w:lineRule="auto"/>
              <w:ind w:firstLine="0" w:firstLineChars="0"/>
              <w:jc w:val="center"/>
              <w:rPr>
                <w:rFonts w:hint="eastAsia" w:eastAsia="仿宋"/>
                <w:sz w:val="24"/>
                <w:szCs w:val="24"/>
                <w:lang w:eastAsia="zh-CN"/>
              </w:rPr>
            </w:pPr>
            <w:r>
              <w:rPr>
                <w:rFonts w:hint="eastAsia" w:eastAsia="仿宋"/>
                <w:kern w:val="0"/>
                <w:sz w:val="24"/>
                <w:szCs w:val="24"/>
              </w:rPr>
              <w:t>竞选</w:t>
            </w:r>
            <w:r>
              <w:rPr>
                <w:rFonts w:eastAsia="仿宋"/>
                <w:kern w:val="0"/>
                <w:sz w:val="24"/>
                <w:szCs w:val="24"/>
              </w:rPr>
              <w:t>人业绩</w:t>
            </w:r>
            <w:r>
              <w:rPr>
                <w:rFonts w:hint="eastAsia" w:eastAsia="仿宋"/>
                <w:kern w:val="0"/>
                <w:sz w:val="24"/>
                <w:szCs w:val="24"/>
                <w:lang w:eastAsia="zh-CN"/>
              </w:rPr>
              <w:t>（</w:t>
            </w:r>
            <w:r>
              <w:rPr>
                <w:rFonts w:hint="eastAsia" w:eastAsia="仿宋"/>
                <w:kern w:val="0"/>
                <w:sz w:val="24"/>
                <w:szCs w:val="24"/>
                <w:lang w:val="en-US" w:eastAsia="zh-CN"/>
              </w:rPr>
              <w:t>24分</w:t>
            </w:r>
            <w:r>
              <w:rPr>
                <w:rFonts w:hint="eastAsia" w:eastAsia="仿宋"/>
                <w:kern w:val="0"/>
                <w:sz w:val="24"/>
                <w:szCs w:val="24"/>
                <w:lang w:eastAsia="zh-CN"/>
              </w:rPr>
              <w:t>）</w:t>
            </w:r>
          </w:p>
        </w:tc>
        <w:tc>
          <w:tcPr>
            <w:tcW w:w="4284" w:type="dxa"/>
            <w:noWrap w:val="0"/>
            <w:vAlign w:val="center"/>
          </w:tcPr>
          <w:p w14:paraId="598C010A">
            <w:pPr>
              <w:spacing w:line="240" w:lineRule="auto"/>
              <w:ind w:firstLine="0" w:firstLineChars="0"/>
              <w:rPr>
                <w:rFonts w:eastAsia="仿宋"/>
                <w:sz w:val="24"/>
                <w:szCs w:val="24"/>
                <w:highlight w:val="none"/>
                <w:u w:val="none"/>
              </w:rPr>
            </w:pPr>
            <w:r>
              <w:rPr>
                <w:rFonts w:eastAsia="仿宋"/>
                <w:kern w:val="0"/>
                <w:sz w:val="24"/>
                <w:szCs w:val="24"/>
                <w:highlight w:val="none"/>
                <w:u w:val="none"/>
              </w:rPr>
              <w:t>竞选人</w:t>
            </w:r>
            <w:r>
              <w:rPr>
                <w:rFonts w:eastAsia="仿宋"/>
                <w:sz w:val="24"/>
                <w:szCs w:val="24"/>
                <w:highlight w:val="none"/>
                <w:u w:val="none"/>
              </w:rPr>
              <w:t>自2021年1月1日起至竞选截止日止（以合同签订时间为准），每有1个单项合同金额不低于人民币</w:t>
            </w:r>
            <w:r>
              <w:rPr>
                <w:rFonts w:hint="eastAsia" w:eastAsia="仿宋"/>
                <w:sz w:val="24"/>
                <w:szCs w:val="24"/>
                <w:highlight w:val="none"/>
                <w:u w:val="none"/>
              </w:rPr>
              <w:t>70万元的</w:t>
            </w:r>
            <w:r>
              <w:rPr>
                <w:rFonts w:hint="eastAsia" w:eastAsia="仿宋"/>
                <w:highlight w:val="none"/>
              </w:rPr>
              <w:t>物业服务或</w:t>
            </w:r>
            <w:r>
              <w:rPr>
                <w:rFonts w:hint="eastAsia" w:eastAsia="仿宋"/>
                <w:sz w:val="24"/>
                <w:szCs w:val="24"/>
                <w:highlight w:val="none"/>
                <w:u w:val="none"/>
              </w:rPr>
              <w:t>秩序维护业绩或安保服务业绩</w:t>
            </w:r>
            <w:r>
              <w:rPr>
                <w:rFonts w:eastAsia="仿宋"/>
                <w:sz w:val="24"/>
                <w:szCs w:val="24"/>
                <w:highlight w:val="none"/>
                <w:u w:val="none"/>
              </w:rPr>
              <w:t>得</w:t>
            </w:r>
            <w:r>
              <w:rPr>
                <w:rFonts w:hint="eastAsia" w:eastAsia="仿宋"/>
                <w:sz w:val="24"/>
                <w:szCs w:val="24"/>
                <w:highlight w:val="none"/>
                <w:u w:val="none"/>
                <w:lang w:val="en-US" w:eastAsia="zh-CN"/>
              </w:rPr>
              <w:t>8</w:t>
            </w:r>
            <w:r>
              <w:rPr>
                <w:rFonts w:eastAsia="仿宋"/>
                <w:sz w:val="24"/>
                <w:szCs w:val="24"/>
                <w:highlight w:val="none"/>
                <w:u w:val="none"/>
              </w:rPr>
              <w:t>分，本项最多得</w:t>
            </w:r>
            <w:r>
              <w:rPr>
                <w:rFonts w:hint="eastAsia" w:eastAsia="仿宋"/>
                <w:sz w:val="24"/>
                <w:szCs w:val="24"/>
                <w:highlight w:val="none"/>
                <w:u w:val="none"/>
                <w:lang w:val="en-US" w:eastAsia="zh-CN"/>
              </w:rPr>
              <w:t>24</w:t>
            </w:r>
            <w:r>
              <w:rPr>
                <w:rFonts w:eastAsia="仿宋"/>
                <w:sz w:val="24"/>
                <w:szCs w:val="24"/>
                <w:highlight w:val="none"/>
                <w:u w:val="none"/>
              </w:rPr>
              <w:t>分。</w:t>
            </w:r>
          </w:p>
        </w:tc>
        <w:tc>
          <w:tcPr>
            <w:tcW w:w="3165" w:type="dxa"/>
            <w:noWrap w:val="0"/>
            <w:vAlign w:val="center"/>
          </w:tcPr>
          <w:p w14:paraId="31437FA1">
            <w:pPr>
              <w:spacing w:line="240" w:lineRule="auto"/>
              <w:ind w:firstLine="0" w:firstLineChars="0"/>
              <w:rPr>
                <w:rFonts w:hint="eastAsia" w:eastAsia="仿宋"/>
                <w:sz w:val="24"/>
                <w:szCs w:val="24"/>
                <w:u w:val="none"/>
              </w:rPr>
            </w:pPr>
            <w:r>
              <w:rPr>
                <w:rFonts w:hint="eastAsia" w:eastAsia="仿宋"/>
                <w:sz w:val="24"/>
                <w:szCs w:val="24"/>
                <w:u w:val="none"/>
                <w:lang w:val="en-US" w:eastAsia="zh-CN"/>
              </w:rPr>
              <w:t>提供</w:t>
            </w:r>
            <w:r>
              <w:rPr>
                <w:rFonts w:eastAsia="仿宋"/>
                <w:sz w:val="24"/>
                <w:szCs w:val="24"/>
                <w:u w:val="none"/>
              </w:rPr>
              <w:t>：</w:t>
            </w:r>
            <w:r>
              <w:rPr>
                <w:rFonts w:hint="eastAsia" w:eastAsia="仿宋"/>
                <w:sz w:val="24"/>
                <w:szCs w:val="24"/>
                <w:u w:val="none"/>
              </w:rPr>
              <w:t>合同协议书并加盖竞选人单位公章，如合同协议书通知书无法体现物业服务或秩序维护或安保服务类型或金额的，还须同时提供发票作为支撑材料。若提供的业绩证明材料仍然不能体现上述业绩指标的，应补充提供业主证明。</w:t>
            </w:r>
          </w:p>
          <w:p w14:paraId="267219B7">
            <w:pPr>
              <w:spacing w:line="240" w:lineRule="auto"/>
              <w:ind w:firstLine="0" w:firstLineChars="0"/>
              <w:jc w:val="left"/>
              <w:rPr>
                <w:rFonts w:eastAsia="仿宋"/>
                <w:sz w:val="24"/>
                <w:szCs w:val="24"/>
                <w:u w:val="none"/>
              </w:rPr>
            </w:pPr>
            <w:r>
              <w:rPr>
                <w:rFonts w:hint="eastAsia" w:eastAsia="仿宋"/>
                <w:sz w:val="24"/>
                <w:szCs w:val="24"/>
                <w:u w:val="none"/>
              </w:rPr>
              <w:t>注：未按要求提供对应业绩证明材料或业绩证明材料内容模糊评标委员会无法判断的，评标委员会将不予认可。</w:t>
            </w:r>
          </w:p>
        </w:tc>
      </w:tr>
    </w:tbl>
    <w:p w14:paraId="04478B71">
      <w:pPr>
        <w:rPr>
          <w:rFonts w:hint="eastAsia"/>
        </w:rPr>
      </w:pPr>
      <w:r>
        <w:rPr>
          <w:rFonts w:hint="eastAsia"/>
        </w:rPr>
        <w:t>1.对报价不高于最高限价的所有有效竞选人的竞选文件，按评审后得分由高到低的排列顺序推荐综合得分排名前三的竞选人人为本包（项目）中选候选人，排名第一的为第一中选候选人。若竞选人的评审得分相同的，按照竞选报价由低到高的顺序排列推荐。评审得分且竞选报价相同的，按照服务指标优劣顺序排列推荐。以上都相同的，按商务条款的优劣顺序排列推荐。</w:t>
      </w:r>
    </w:p>
    <w:p w14:paraId="1D648426">
      <w:pPr>
        <w:rPr>
          <w:rFonts w:hint="eastAsia"/>
          <w:highlight w:val="yellow"/>
        </w:rPr>
      </w:pPr>
      <w:r>
        <w:rPr>
          <w:rFonts w:hint="eastAsia"/>
        </w:rPr>
        <w:t>2.因比选小组作否决竞选处理，导致有效竞选人不足三个的，比选小组应当否决所有竞选。但是有效竞选人的经济、技术等指标仍然具有市场竞争力，并满足比选文件要求的，比选小组可以继续评选并确定中选候选人。</w:t>
      </w:r>
    </w:p>
    <w:p w14:paraId="12C5A35B">
      <w:pPr>
        <w:rPr>
          <w:rFonts w:hint="eastAsia"/>
        </w:rPr>
      </w:pPr>
      <w:r>
        <w:rPr>
          <w:rFonts w:hint="eastAsia"/>
        </w:rPr>
        <w:t>竞选人需保证所提供地址和联系方式准确无误，因提供地址和联系方式不准确或发生变更导致成交通知书无法送达的，中选人应承担该不利后果。</w:t>
      </w:r>
    </w:p>
    <w:p w14:paraId="3D26DD10">
      <w:pPr>
        <w:pStyle w:val="3"/>
        <w:adjustRightInd w:val="0"/>
        <w:spacing w:before="0" w:after="0" w:line="400" w:lineRule="exact"/>
        <w:ind w:firstLine="482"/>
        <w:rPr>
          <w:rFonts w:hint="eastAsia" w:ascii="方正仿宋_GBK" w:hAnsi="宋体" w:eastAsia="方正仿宋_GBK"/>
          <w:sz w:val="24"/>
        </w:rPr>
      </w:pPr>
      <w:bookmarkStart w:id="49" w:name="_Toc76462335"/>
      <w:bookmarkStart w:id="50" w:name="_Toc7705"/>
      <w:r>
        <w:rPr>
          <w:rFonts w:hint="eastAsia" w:ascii="方正仿宋_GBK" w:hAnsi="宋体" w:eastAsia="方正仿宋_GBK"/>
          <w:sz w:val="24"/>
        </w:rPr>
        <w:t>三、无效</w:t>
      </w:r>
      <w:bookmarkEnd w:id="49"/>
      <w:r>
        <w:rPr>
          <w:rFonts w:hint="eastAsia" w:ascii="方正仿宋_GBK" w:hAnsi="宋体" w:eastAsia="方正仿宋_GBK"/>
          <w:sz w:val="24"/>
        </w:rPr>
        <w:t>竞选</w:t>
      </w:r>
      <w:bookmarkEnd w:id="50"/>
    </w:p>
    <w:p w14:paraId="541CB810">
      <w:pPr>
        <w:rPr>
          <w:rFonts w:hint="eastAsia" w:ascii="方正仿宋_GBK" w:hAnsi="宋体"/>
        </w:rPr>
      </w:pPr>
      <w:r>
        <w:rPr>
          <w:rFonts w:hint="eastAsia" w:ascii="方正仿宋_GBK" w:hAnsi="宋体"/>
        </w:rPr>
        <w:t>竞选人发生以下条款情况之一者，视为无效竞选，其竞选文件将被拒绝：</w:t>
      </w:r>
    </w:p>
    <w:p w14:paraId="53CD544F">
      <w:pPr>
        <w:rPr>
          <w:rFonts w:hint="eastAsia" w:ascii="方正仿宋_GBK" w:hAnsi="宋体"/>
        </w:rPr>
      </w:pPr>
      <w:r>
        <w:rPr>
          <w:rFonts w:hint="eastAsia" w:ascii="方正仿宋_GBK" w:hAnsi="宋体"/>
        </w:rPr>
        <w:t>（一）竞选人不符合规定的资格条件的；</w:t>
      </w:r>
    </w:p>
    <w:p w14:paraId="093D9235">
      <w:pPr>
        <w:rPr>
          <w:rFonts w:hint="eastAsia" w:ascii="方正仿宋_GBK" w:hAnsi="宋体"/>
        </w:rPr>
      </w:pPr>
      <w:r>
        <w:rPr>
          <w:rFonts w:hint="eastAsia" w:ascii="方正仿宋_GBK" w:hAnsi="宋体"/>
        </w:rPr>
        <w:t>（二）竞选人的法定代表人（或其授权代表）未参加比选；</w:t>
      </w:r>
    </w:p>
    <w:p w14:paraId="20756064">
      <w:pPr>
        <w:rPr>
          <w:rFonts w:hint="eastAsia" w:ascii="方正仿宋_GBK" w:hAnsi="宋体"/>
        </w:rPr>
      </w:pPr>
      <w:r>
        <w:rPr>
          <w:rFonts w:hint="eastAsia" w:ascii="方正仿宋_GBK" w:hAnsi="宋体"/>
        </w:rPr>
        <w:t>（三）竞选人所提交的竞选文件不按“第七篇竞选文件编制要求”要求签署或盖章；</w:t>
      </w:r>
    </w:p>
    <w:p w14:paraId="28BFB9E4">
      <w:pPr>
        <w:rPr>
          <w:rFonts w:hint="eastAsia" w:ascii="方正仿宋_GBK" w:hAnsi="宋体"/>
        </w:rPr>
      </w:pPr>
      <w:r>
        <w:rPr>
          <w:rFonts w:hint="eastAsia" w:ascii="方正仿宋_GBK" w:hAnsi="宋体"/>
        </w:rPr>
        <w:t>（四）竞选人的报价超过最高限价的；</w:t>
      </w:r>
    </w:p>
    <w:p w14:paraId="0623A245">
      <w:pPr>
        <w:rPr>
          <w:rFonts w:hint="eastAsia" w:ascii="方正仿宋_GBK" w:hAnsi="宋体"/>
        </w:rPr>
      </w:pPr>
      <w:r>
        <w:rPr>
          <w:rFonts w:hint="eastAsia" w:ascii="方正仿宋_GBK" w:hAnsi="宋体"/>
        </w:rPr>
        <w:t>（五）法定代表人为同一个人的两个及两个以上法人，母公司、全资子公司及其控股公司，在同一包采购中同时参与比选；</w:t>
      </w:r>
    </w:p>
    <w:p w14:paraId="3067D451">
      <w:pPr>
        <w:rPr>
          <w:rFonts w:hint="eastAsia" w:ascii="方正仿宋_GBK" w:hAnsi="宋体"/>
        </w:rPr>
      </w:pPr>
      <w:r>
        <w:rPr>
          <w:rFonts w:hint="eastAsia" w:ascii="方正仿宋_GBK" w:hAnsi="宋体"/>
        </w:rPr>
        <w:t>（六）单位负责人为同一人或者存在直接控股、管理关系的不同竞选人，参加同一合同项下的比选活动的；</w:t>
      </w:r>
    </w:p>
    <w:p w14:paraId="3B29CB67">
      <w:pPr>
        <w:rPr>
          <w:rFonts w:hint="eastAsia" w:ascii="方正仿宋_GBK" w:hAnsi="宋体"/>
        </w:rPr>
      </w:pPr>
      <w:r>
        <w:rPr>
          <w:rFonts w:hint="eastAsia" w:ascii="方正仿宋_GBK" w:hAnsi="宋体"/>
        </w:rPr>
        <w:t>（七）竞选人比选有效期不满足竞争性比选文件要求的；</w:t>
      </w:r>
    </w:p>
    <w:p w14:paraId="5D91B589">
      <w:pPr>
        <w:rPr>
          <w:rFonts w:hint="eastAsia" w:ascii="方正仿宋_GBK" w:hAnsi="宋体"/>
        </w:rPr>
      </w:pPr>
      <w:r>
        <w:rPr>
          <w:rFonts w:hint="eastAsia" w:ascii="方正仿宋_GBK" w:hAnsi="宋体"/>
        </w:rPr>
        <w:t>（八）竞选人竞选文件内容有与国家现行法律法规相违背的内容，或附有比选人无法接受的条件；</w:t>
      </w:r>
    </w:p>
    <w:p w14:paraId="5B630036">
      <w:pPr>
        <w:rPr>
          <w:rFonts w:hint="eastAsia" w:ascii="方正仿宋_GBK" w:hAnsi="宋体"/>
        </w:rPr>
      </w:pPr>
      <w:r>
        <w:rPr>
          <w:rFonts w:hint="eastAsia" w:ascii="方正仿宋_GBK" w:hAnsi="宋体"/>
        </w:rPr>
        <w:t>（九）联合体参与竞选的；</w:t>
      </w:r>
    </w:p>
    <w:p w14:paraId="4E24AA6B">
      <w:pPr>
        <w:rPr>
          <w:rFonts w:hint="eastAsia" w:ascii="方正仿宋_GBK" w:hAnsi="宋体"/>
        </w:rPr>
      </w:pPr>
      <w:r>
        <w:rPr>
          <w:rFonts w:hint="eastAsia" w:ascii="方正仿宋_GBK" w:hAnsi="宋体"/>
        </w:rPr>
        <w:t>（十）竞选人将本项目合同分包的；</w:t>
      </w:r>
    </w:p>
    <w:p w14:paraId="55823804">
      <w:pPr>
        <w:rPr>
          <w:rFonts w:hint="eastAsia" w:ascii="方正仿宋_GBK" w:hAnsi="宋体"/>
        </w:rPr>
      </w:pPr>
      <w:r>
        <w:rPr>
          <w:rFonts w:hint="eastAsia" w:ascii="方正仿宋_GBK" w:hAnsi="宋体"/>
        </w:rPr>
        <w:t>（十一）竞选人列入失信被执行人、重大税收违法案件当事人名单、政府采购严重违法失信行为记录名单及其他不符合《中华人民共和国政府采购法》第二十二条规定条件的；</w:t>
      </w:r>
    </w:p>
    <w:p w14:paraId="065A6973">
      <w:pPr>
        <w:rPr>
          <w:rFonts w:hint="eastAsia" w:ascii="方正仿宋_GBK" w:hAnsi="宋体"/>
        </w:rPr>
      </w:pPr>
      <w:r>
        <w:rPr>
          <w:rFonts w:hint="eastAsia" w:ascii="方正仿宋_GBK" w:hAnsi="宋体"/>
        </w:rPr>
        <w:t>（十二）竞选人未通过符合性审查的；</w:t>
      </w:r>
    </w:p>
    <w:p w14:paraId="3614CC55">
      <w:pPr>
        <w:rPr>
          <w:rFonts w:ascii="方正仿宋_GBK" w:hAnsi="宋体"/>
        </w:rPr>
      </w:pPr>
      <w:r>
        <w:rPr>
          <w:rFonts w:hint="eastAsia" w:ascii="方正仿宋_GBK" w:hAnsi="宋体"/>
        </w:rPr>
        <w:t>（十三）竞选人未按竞选人须知规定递交竞选保证金的；</w:t>
      </w:r>
    </w:p>
    <w:p w14:paraId="256421BB">
      <w:pPr>
        <w:rPr>
          <w:rFonts w:hint="eastAsia" w:ascii="方正仿宋_GBK" w:hAnsi="宋体"/>
        </w:rPr>
      </w:pPr>
      <w:r>
        <w:rPr>
          <w:rFonts w:hint="eastAsia" w:ascii="方正仿宋_GBK" w:hAnsi="宋体"/>
        </w:rPr>
        <w:t>（十四）法律、法规和竞争性比选文件规定的其他无效情形。</w:t>
      </w:r>
    </w:p>
    <w:p w14:paraId="7F1333EC">
      <w:pPr>
        <w:pStyle w:val="3"/>
        <w:adjustRightInd w:val="0"/>
        <w:spacing w:before="0" w:after="0" w:line="400" w:lineRule="exact"/>
        <w:ind w:firstLine="482"/>
        <w:rPr>
          <w:rFonts w:hint="eastAsia" w:ascii="方正仿宋_GBK" w:hAnsi="宋体" w:eastAsia="方正仿宋_GBK"/>
          <w:sz w:val="24"/>
          <w:lang w:eastAsia="zh-CN"/>
        </w:rPr>
      </w:pPr>
      <w:bookmarkStart w:id="51" w:name="_Toc76462336"/>
      <w:bookmarkStart w:id="52" w:name="_Toc15350"/>
      <w:r>
        <w:rPr>
          <w:rFonts w:hint="eastAsia" w:ascii="方正仿宋_GBK" w:hAnsi="宋体" w:eastAsia="方正仿宋_GBK"/>
          <w:b w:val="0"/>
          <w:sz w:val="24"/>
          <w:lang w:eastAsia="zh-CN"/>
        </w:rPr>
        <w:t>（</w:t>
      </w:r>
      <w:r>
        <w:rPr>
          <w:rFonts w:hint="eastAsia" w:ascii="方正仿宋_GBK" w:hAnsi="宋体" w:eastAsia="方正仿宋_GBK"/>
          <w:b w:val="0"/>
          <w:sz w:val="24"/>
          <w:lang w:val="en-US" w:eastAsia="zh-CN"/>
        </w:rPr>
        <w:t>十五</w:t>
      </w:r>
      <w:r>
        <w:rPr>
          <w:rFonts w:hint="eastAsia" w:ascii="方正仿宋_GBK" w:hAnsi="宋体" w:eastAsia="方正仿宋_GBK"/>
          <w:b w:val="0"/>
          <w:sz w:val="24"/>
          <w:lang w:eastAsia="zh-CN"/>
        </w:rPr>
        <w:t>）</w:t>
      </w:r>
      <w:r>
        <w:rPr>
          <w:rFonts w:hint="eastAsia" w:ascii="方正仿宋_GBK" w:hAnsi="宋体" w:eastAsia="方正仿宋_GBK"/>
          <w:b w:val="0"/>
          <w:sz w:val="24"/>
        </w:rPr>
        <w:t>总价与由单价计算出的总价不一致时，由评审委员会作否决竞选处理；</w:t>
      </w:r>
    </w:p>
    <w:p w14:paraId="0269E394">
      <w:pPr>
        <w:pStyle w:val="3"/>
        <w:adjustRightInd w:val="0"/>
        <w:spacing w:before="0" w:after="0" w:line="400" w:lineRule="exact"/>
        <w:ind w:firstLine="482"/>
        <w:rPr>
          <w:rFonts w:hint="eastAsia" w:ascii="方正仿宋_GBK" w:hAnsi="宋体" w:eastAsia="方正仿宋_GBK"/>
          <w:sz w:val="24"/>
        </w:rPr>
      </w:pPr>
      <w:r>
        <w:rPr>
          <w:rFonts w:hint="eastAsia" w:ascii="方正仿宋_GBK" w:hAnsi="宋体" w:eastAsia="方正仿宋_GBK"/>
          <w:sz w:val="24"/>
        </w:rPr>
        <w:t>四、</w:t>
      </w:r>
      <w:bookmarkEnd w:id="47"/>
      <w:bookmarkEnd w:id="48"/>
      <w:r>
        <w:rPr>
          <w:rFonts w:hint="eastAsia" w:ascii="方正仿宋_GBK" w:hAnsi="宋体" w:eastAsia="方正仿宋_GBK"/>
          <w:sz w:val="24"/>
        </w:rPr>
        <w:t>采购终止</w:t>
      </w:r>
      <w:bookmarkEnd w:id="51"/>
      <w:bookmarkEnd w:id="52"/>
    </w:p>
    <w:p w14:paraId="278DE649">
      <w:pPr>
        <w:rPr>
          <w:rFonts w:hint="eastAsia" w:ascii="方正仿宋_GBK" w:hAnsi="宋体"/>
        </w:rPr>
      </w:pPr>
      <w:r>
        <w:rPr>
          <w:rFonts w:hint="eastAsia" w:ascii="方正仿宋_GBK" w:hAnsi="宋体"/>
        </w:rPr>
        <w:t>出现下列情形之一的，比选人或者比选代理机构应当终止竞争性比选采购活动，发布项目终止公告并说明原因，重新开展比选活动：</w:t>
      </w:r>
    </w:p>
    <w:p w14:paraId="3BD122D9">
      <w:pPr>
        <w:rPr>
          <w:rFonts w:hint="eastAsia" w:ascii="方正仿宋_GBK" w:hAnsi="宋体"/>
        </w:rPr>
      </w:pPr>
      <w:r>
        <w:rPr>
          <w:rFonts w:hint="eastAsia" w:ascii="方正仿宋_GBK" w:hAnsi="宋体"/>
        </w:rPr>
        <w:t>（一）因情况变化，不再符合规定的竞争性比选采购方式适用情形的；</w:t>
      </w:r>
    </w:p>
    <w:p w14:paraId="52A77645">
      <w:pPr>
        <w:rPr>
          <w:rFonts w:hint="eastAsia" w:ascii="方正仿宋_GBK" w:hAnsi="宋体"/>
        </w:rPr>
      </w:pPr>
      <w:r>
        <w:rPr>
          <w:rFonts w:hint="eastAsia" w:ascii="方正仿宋_GBK" w:hAnsi="宋体"/>
        </w:rPr>
        <w:t>（二）出现影响比选公正的违法、违规行为的；</w:t>
      </w:r>
    </w:p>
    <w:p w14:paraId="7F567149">
      <w:pPr>
        <w:rPr>
          <w:rFonts w:hint="eastAsia" w:ascii="方正仿宋_GBK" w:hAnsi="宋体"/>
        </w:rPr>
      </w:pPr>
      <w:r>
        <w:rPr>
          <w:rFonts w:hint="eastAsia" w:ascii="方正仿宋_GBK" w:hAnsi="宋体"/>
        </w:rPr>
        <w:t>（三）在比选过程中符合要求的竞选人不足3家的。</w:t>
      </w:r>
    </w:p>
    <w:p w14:paraId="237C3CBE">
      <w:pPr>
        <w:rPr>
          <w:rFonts w:ascii="宋体" w:hAnsi="宋体"/>
        </w:rPr>
        <w:sectPr>
          <w:pgSz w:w="11907" w:h="16840"/>
          <w:pgMar w:top="1134" w:right="1191" w:bottom="1134" w:left="1304" w:header="964" w:footer="992" w:gutter="0"/>
          <w:pgBorders>
            <w:top w:val="none" w:sz="0" w:space="0"/>
            <w:left w:val="none" w:sz="0" w:space="0"/>
            <w:bottom w:val="none" w:sz="0" w:space="0"/>
            <w:right w:val="none" w:sz="0" w:space="0"/>
          </w:pgBorders>
          <w:pgNumType w:fmt="numberInDash"/>
          <w:cols w:space="720" w:num="1"/>
          <w:docGrid w:linePitch="312" w:charSpace="0"/>
        </w:sectPr>
      </w:pPr>
    </w:p>
    <w:p w14:paraId="3EDDAD83">
      <w:pPr>
        <w:pStyle w:val="3"/>
        <w:pageBreakBefore/>
        <w:spacing w:before="0" w:after="0" w:line="360" w:lineRule="auto"/>
        <w:ind w:firstLine="0" w:firstLineChars="0"/>
        <w:jc w:val="center"/>
        <w:rPr>
          <w:rFonts w:hint="eastAsia" w:ascii="方正小标宋_GBK" w:hAnsi="宋体" w:eastAsia="方正小标宋_GBK"/>
          <w:sz w:val="36"/>
          <w:szCs w:val="30"/>
        </w:rPr>
      </w:pPr>
      <w:bookmarkStart w:id="53" w:name="_Toc24951"/>
      <w:bookmarkStart w:id="54" w:name="_Toc102227313"/>
      <w:bookmarkStart w:id="55" w:name="_Toc76462337"/>
      <w:r>
        <w:rPr>
          <w:rFonts w:hint="eastAsia" w:ascii="方正小标宋_GBK" w:hAnsi="宋体" w:eastAsia="方正小标宋_GBK"/>
          <w:sz w:val="36"/>
          <w:szCs w:val="30"/>
        </w:rPr>
        <w:t>第五篇  竞选人须知</w:t>
      </w:r>
      <w:bookmarkEnd w:id="53"/>
      <w:bookmarkEnd w:id="54"/>
      <w:bookmarkEnd w:id="55"/>
    </w:p>
    <w:p w14:paraId="13188921">
      <w:pPr>
        <w:pStyle w:val="3"/>
        <w:adjustRightInd w:val="0"/>
        <w:spacing w:before="0" w:after="0" w:line="400" w:lineRule="exact"/>
        <w:ind w:firstLine="482"/>
        <w:rPr>
          <w:rFonts w:hint="eastAsia" w:ascii="方正仿宋_GBK" w:hAnsi="宋体" w:eastAsia="方正仿宋_GBK"/>
          <w:sz w:val="24"/>
        </w:rPr>
      </w:pPr>
      <w:bookmarkStart w:id="56" w:name="_Toc342913389"/>
      <w:bookmarkStart w:id="57" w:name="_Toc76462338"/>
      <w:bookmarkStart w:id="58" w:name="_Toc14745"/>
      <w:r>
        <w:rPr>
          <w:rFonts w:hint="eastAsia" w:ascii="方正仿宋_GBK" w:hAnsi="宋体" w:eastAsia="方正仿宋_GBK"/>
          <w:sz w:val="24"/>
        </w:rPr>
        <w:t>一、竞选费用</w:t>
      </w:r>
      <w:bookmarkEnd w:id="56"/>
      <w:bookmarkEnd w:id="57"/>
      <w:bookmarkEnd w:id="58"/>
    </w:p>
    <w:p w14:paraId="4B64C10C">
      <w:pPr>
        <w:pStyle w:val="141"/>
        <w:rPr>
          <w:rFonts w:hint="eastAsia" w:ascii="方正仿宋_GBK" w:hAnsi="宋体"/>
          <w:sz w:val="24"/>
        </w:rPr>
      </w:pPr>
      <w:r>
        <w:rPr>
          <w:rFonts w:hint="eastAsia" w:ascii="方正仿宋_GBK" w:hAnsi="宋体"/>
          <w:sz w:val="24"/>
        </w:rPr>
        <w:t>参与</w:t>
      </w:r>
      <w:r>
        <w:rPr>
          <w:rFonts w:hint="eastAsia" w:ascii="方正仿宋_GBK"/>
          <w:sz w:val="24"/>
        </w:rPr>
        <w:t>比选</w:t>
      </w:r>
      <w:r>
        <w:rPr>
          <w:rFonts w:hint="eastAsia" w:ascii="方正仿宋_GBK" w:hAnsi="宋体"/>
          <w:sz w:val="24"/>
        </w:rPr>
        <w:t>的竞选人应承担其编制竞选文件与递交竞选文件所涉及的一切费用，不论</w:t>
      </w:r>
      <w:r>
        <w:rPr>
          <w:rFonts w:hint="eastAsia" w:ascii="方正仿宋_GBK"/>
          <w:sz w:val="24"/>
        </w:rPr>
        <w:t>比选</w:t>
      </w:r>
      <w:r>
        <w:rPr>
          <w:rFonts w:hint="eastAsia" w:ascii="方正仿宋_GBK" w:hAnsi="宋体"/>
          <w:sz w:val="24"/>
        </w:rPr>
        <w:t>结果如何，比选人和比选代理机构在任何情况下无义务也无责任承担这些费用。</w:t>
      </w:r>
    </w:p>
    <w:p w14:paraId="140F214A">
      <w:pPr>
        <w:pStyle w:val="3"/>
        <w:adjustRightInd w:val="0"/>
        <w:spacing w:before="0" w:after="0" w:line="400" w:lineRule="exact"/>
        <w:ind w:firstLine="482"/>
        <w:rPr>
          <w:rFonts w:hint="eastAsia" w:ascii="方正仿宋_GBK" w:hAnsi="宋体" w:eastAsia="方正仿宋_GBK"/>
          <w:sz w:val="24"/>
        </w:rPr>
      </w:pPr>
      <w:bookmarkStart w:id="59" w:name="_Toc76462339"/>
      <w:bookmarkStart w:id="60" w:name="_Toc17779"/>
      <w:bookmarkStart w:id="61" w:name="_Toc342913391"/>
      <w:r>
        <w:rPr>
          <w:rFonts w:hint="eastAsia" w:ascii="方正仿宋_GBK" w:hAnsi="宋体" w:eastAsia="方正仿宋_GBK"/>
          <w:sz w:val="24"/>
        </w:rPr>
        <w:t>二、竞争性比选文件</w:t>
      </w:r>
      <w:bookmarkEnd w:id="59"/>
      <w:bookmarkEnd w:id="60"/>
      <w:bookmarkEnd w:id="61"/>
    </w:p>
    <w:p w14:paraId="1D508E7D">
      <w:pPr>
        <w:rPr>
          <w:rFonts w:hint="eastAsia" w:ascii="方正仿宋_GBK" w:hAnsi="宋体"/>
        </w:rPr>
      </w:pPr>
      <w:r>
        <w:rPr>
          <w:rFonts w:hint="eastAsia" w:ascii="方正仿宋_GBK" w:hAnsi="宋体"/>
        </w:rPr>
        <w:t>（一）竞争性比选文件由比选公告、项目服务需求、项目商务需求、比选程序及方法、评审标准、无效竞选和比选终止、竞选人须知</w:t>
      </w:r>
      <w:r>
        <w:rPr>
          <w:rFonts w:hint="eastAsia" w:ascii="方正仿宋_GBK" w:hAnsi="宋体"/>
          <w:b/>
        </w:rPr>
        <w:t>、</w:t>
      </w:r>
      <w:r>
        <w:rPr>
          <w:rFonts w:hint="eastAsia" w:ascii="方正仿宋_GBK" w:hAnsi="宋体"/>
        </w:rPr>
        <w:t>采购合同</w:t>
      </w:r>
      <w:r>
        <w:rPr>
          <w:rFonts w:hint="eastAsia" w:ascii="方正仿宋_GBK" w:hAnsi="宋体"/>
          <w:b/>
        </w:rPr>
        <w:t>、</w:t>
      </w:r>
      <w:r>
        <w:rPr>
          <w:rFonts w:hint="eastAsia" w:ascii="方正仿宋_GBK" w:hAnsi="宋体"/>
        </w:rPr>
        <w:t>竞选文件编制要求七部分组成。</w:t>
      </w:r>
    </w:p>
    <w:p w14:paraId="40D528ED">
      <w:pPr>
        <w:rPr>
          <w:rFonts w:hint="eastAsia" w:ascii="方正仿宋_GBK" w:hAnsi="宋体"/>
        </w:rPr>
      </w:pPr>
      <w:r>
        <w:rPr>
          <w:rFonts w:hint="eastAsia" w:ascii="方正仿宋_GBK" w:hAnsi="宋体"/>
        </w:rPr>
        <w:t>（二）比选人（或比选代理机构）所作的一切有效的书面通知、修改及补充，都是竞争性比选文件不可分割的部分。</w:t>
      </w:r>
    </w:p>
    <w:p w14:paraId="7EF950F0">
      <w:pPr>
        <w:rPr>
          <w:rFonts w:hint="eastAsia" w:ascii="方正仿宋_GBK" w:hAnsi="宋体"/>
        </w:rPr>
      </w:pPr>
      <w:r>
        <w:rPr>
          <w:rFonts w:hint="eastAsia" w:ascii="方正仿宋_GBK" w:hAnsi="宋体"/>
        </w:rPr>
        <w:t>（三）竞争性比选文件的解释</w:t>
      </w:r>
    </w:p>
    <w:p w14:paraId="723B946B">
      <w:pPr>
        <w:rPr>
          <w:rFonts w:hint="eastAsia" w:ascii="方正仿宋_GBK" w:hAnsi="宋体"/>
        </w:rPr>
      </w:pPr>
      <w:r>
        <w:rPr>
          <w:rFonts w:hint="eastAsia" w:ascii="方正仿宋_GBK" w:hAnsi="宋体"/>
        </w:rPr>
        <w:t>竞选人如对竞争性比选文件有疑问，必须以书面形式在比选公告中提问截止时间前以书面形式（须加盖竞选人公章）向比选人或比选代理机构要求澄清，要求澄清文件发送至邮箱地址：896764808@qq.com，比选人（或比选代理机构）可视具体情况做出处理或答复。如竞选人未提出疑问，视为完全理解并同意本竞争性比选文件。一经进入比选程序，即视为竞选人已详细阅读全部文件资料，完全理解竞争性比选文件所有条款内容并同意放弃对这方面有不明白及误解的权利。</w:t>
      </w:r>
      <w:bookmarkStart w:id="62" w:name="_Toc318166429"/>
      <w:bookmarkStart w:id="63" w:name="_Toc318159160"/>
      <w:bookmarkStart w:id="64" w:name="_Toc318159349"/>
      <w:bookmarkStart w:id="65" w:name="_Toc318159780"/>
    </w:p>
    <w:p w14:paraId="049421AE">
      <w:pPr>
        <w:rPr>
          <w:rFonts w:hint="eastAsia" w:ascii="方正仿宋_GBK" w:hAnsi="宋体"/>
        </w:rPr>
      </w:pPr>
      <w:r>
        <w:rPr>
          <w:rFonts w:hint="eastAsia" w:ascii="方正仿宋_GBK" w:hAnsi="宋体"/>
        </w:rPr>
        <w:t>（四）评审的依据为竞争性比选文件和竞选文件（含有效的书面承诺）。比选小组判断竞选文件对竞争性比选文件的响应，仅基于竞选文件本身而不靠外部证据。</w:t>
      </w:r>
    </w:p>
    <w:bookmarkEnd w:id="62"/>
    <w:bookmarkEnd w:id="63"/>
    <w:bookmarkEnd w:id="64"/>
    <w:bookmarkEnd w:id="65"/>
    <w:p w14:paraId="1B4F1934">
      <w:pPr>
        <w:pStyle w:val="3"/>
        <w:adjustRightInd w:val="0"/>
        <w:spacing w:before="0" w:after="0" w:line="400" w:lineRule="exact"/>
        <w:ind w:firstLine="482"/>
        <w:rPr>
          <w:rFonts w:hint="eastAsia" w:ascii="方正仿宋_GBK" w:hAnsi="宋体" w:eastAsia="方正仿宋_GBK"/>
          <w:sz w:val="24"/>
        </w:rPr>
      </w:pPr>
      <w:bookmarkStart w:id="66" w:name="_Toc179714297"/>
      <w:bookmarkStart w:id="67" w:name="_Toc102227318"/>
      <w:bookmarkStart w:id="68" w:name="_Toc342913392"/>
      <w:bookmarkStart w:id="69" w:name="_Toc23192"/>
      <w:bookmarkStart w:id="70" w:name="_Toc76462340"/>
      <w:r>
        <w:rPr>
          <w:rFonts w:hint="eastAsia" w:ascii="方正仿宋_GBK" w:hAnsi="宋体" w:eastAsia="方正仿宋_GBK"/>
          <w:sz w:val="24"/>
        </w:rPr>
        <w:t>三、比选要求</w:t>
      </w:r>
      <w:bookmarkEnd w:id="66"/>
      <w:bookmarkEnd w:id="67"/>
      <w:bookmarkEnd w:id="68"/>
      <w:bookmarkEnd w:id="69"/>
      <w:bookmarkEnd w:id="70"/>
    </w:p>
    <w:p w14:paraId="098B964C">
      <w:pPr>
        <w:rPr>
          <w:rFonts w:hint="eastAsia" w:ascii="方正仿宋_GBK" w:hAnsi="宋体"/>
        </w:rPr>
      </w:pPr>
      <w:r>
        <w:rPr>
          <w:rFonts w:hint="eastAsia" w:ascii="方正仿宋_GBK" w:hAnsi="宋体"/>
        </w:rPr>
        <w:t>（一）竞选文件</w:t>
      </w:r>
    </w:p>
    <w:p w14:paraId="47C711DF">
      <w:pPr>
        <w:rPr>
          <w:rFonts w:hint="eastAsia" w:ascii="方正仿宋_GBK" w:hAnsi="宋体"/>
        </w:rPr>
      </w:pPr>
      <w:r>
        <w:rPr>
          <w:rFonts w:hint="eastAsia" w:ascii="方正仿宋_GBK" w:hAnsi="宋体"/>
        </w:rPr>
        <w:t>1.竞选人应当按照竞争性比选文件的要求编制竞选文件，并对竞争性比选文件提出的要求和条件作出实质性响应，竞选文件原则上采用软面订本，同时应编制完整的页码、目录。</w:t>
      </w:r>
    </w:p>
    <w:p w14:paraId="11D007E2">
      <w:pPr>
        <w:rPr>
          <w:rFonts w:hint="eastAsia" w:ascii="方正仿宋_GBK" w:hAnsi="宋体"/>
        </w:rPr>
      </w:pPr>
      <w:r>
        <w:rPr>
          <w:rFonts w:hint="eastAsia" w:ascii="方正仿宋_GBK" w:hAnsi="宋体"/>
        </w:rPr>
        <w:t>2.竞选文件组成</w:t>
      </w:r>
    </w:p>
    <w:p w14:paraId="04FC4B36">
      <w:pPr>
        <w:rPr>
          <w:rFonts w:hint="eastAsia" w:ascii="方正仿宋_GBK" w:hAnsi="宋体"/>
        </w:rPr>
      </w:pPr>
      <w:r>
        <w:rPr>
          <w:rFonts w:hint="eastAsia" w:ascii="方正仿宋_GBK" w:hAnsi="宋体"/>
        </w:rPr>
        <w:t>竞选文件由“第七篇竞选文件编制要求”规定的部分和竞选人所作的一切有效补充、修改和承诺等文件组成，竞选人应按照“第七篇竞选文件编制要求”规定的目录顺序组织编写和装订，也可在基本格式基础上对表格进行扩展，未规定格式的由竞选人自定格式。</w:t>
      </w:r>
    </w:p>
    <w:p w14:paraId="7A2EC499">
      <w:pPr>
        <w:rPr>
          <w:rFonts w:hint="eastAsia" w:ascii="方正仿宋_GBK" w:hAnsi="宋体"/>
        </w:rPr>
      </w:pPr>
      <w:r>
        <w:rPr>
          <w:rFonts w:hint="eastAsia" w:ascii="方正仿宋_GBK" w:hAnsi="宋体"/>
        </w:rPr>
        <w:t>（二）竞选有效期：竞选文件及有关承诺文件有效期为提交竞选文件截止时间起90天。</w:t>
      </w:r>
    </w:p>
    <w:p w14:paraId="0E73D070">
      <w:pPr>
        <w:rPr>
          <w:rFonts w:hint="eastAsia" w:ascii="方正仿宋_GBK" w:hAnsi="宋体"/>
        </w:rPr>
      </w:pPr>
      <w:r>
        <w:rPr>
          <w:rFonts w:hint="eastAsia" w:ascii="方正仿宋_GBK" w:hAnsi="宋体"/>
        </w:rPr>
        <w:t>（三）修正错误</w:t>
      </w:r>
    </w:p>
    <w:p w14:paraId="233B0218">
      <w:pPr>
        <w:rPr>
          <w:rFonts w:hint="eastAsia" w:ascii="方正仿宋_GBK" w:hAnsi="宋体"/>
        </w:rPr>
      </w:pPr>
      <w:r>
        <w:rPr>
          <w:rFonts w:hint="eastAsia" w:ascii="方正仿宋_GBK" w:hAnsi="宋体"/>
        </w:rPr>
        <w:t>1.若竞选人所递交的竞选文件中的价格出现大写金额和小写金额不一致的错误，以大写金额修正为准。</w:t>
      </w:r>
    </w:p>
    <w:p w14:paraId="5945ABD1">
      <w:pPr>
        <w:rPr>
          <w:rFonts w:hint="eastAsia" w:ascii="方正仿宋_GBK" w:hAnsi="宋体"/>
        </w:rPr>
      </w:pPr>
      <w:r>
        <w:rPr>
          <w:rFonts w:hint="eastAsia" w:ascii="方正仿宋_GBK" w:hAnsi="宋体"/>
        </w:rPr>
        <w:t>2.比选小组按上述修正错误的原则及方法修正竞选人的报价，竞选人同意并签字确认后，修正后的报价对竞选人具有约束作用。如果竞选人不接受修正后的价格，将失去成为中选人的资格。</w:t>
      </w:r>
    </w:p>
    <w:p w14:paraId="47043637">
      <w:pPr>
        <w:rPr>
          <w:rFonts w:hint="eastAsia" w:ascii="方正仿宋_GBK" w:hAnsi="宋体"/>
        </w:rPr>
      </w:pPr>
      <w:r>
        <w:rPr>
          <w:rFonts w:hint="eastAsia" w:ascii="方正仿宋_GBK" w:hAnsi="宋体"/>
        </w:rPr>
        <w:t>（四）提交竞选文件的份数和签署</w:t>
      </w:r>
    </w:p>
    <w:p w14:paraId="0D5765AA">
      <w:pPr>
        <w:rPr>
          <w:rFonts w:hint="eastAsia" w:ascii="方正仿宋_GBK" w:hAnsi="宋体"/>
        </w:rPr>
      </w:pPr>
      <w:r>
        <w:rPr>
          <w:rFonts w:hint="eastAsia" w:ascii="方正仿宋_GBK" w:hAnsi="宋体"/>
        </w:rPr>
        <w:t>1.竞选文件一式四份，其中正本一份，副本</w:t>
      </w:r>
      <w:r>
        <w:rPr>
          <w:rFonts w:hint="default" w:ascii="方正仿宋_GBK" w:hAnsi="宋体"/>
          <w:lang w:val="en-US"/>
        </w:rPr>
        <w:t>二</w:t>
      </w:r>
      <w:r>
        <w:rPr>
          <w:rFonts w:hint="eastAsia" w:ascii="方正仿宋_GBK" w:hAnsi="宋体"/>
        </w:rPr>
        <w:t>份，电子文档一份（电子文档内容应与纸质文件正本一致，如不一致以纸质文件正本为准。推荐采用U盘为电子文档载体）；副本可为正本的复印件，应与正本一致，如出现不一致情况以正本为准。</w:t>
      </w:r>
    </w:p>
    <w:p w14:paraId="55CB858B">
      <w:pPr>
        <w:rPr>
          <w:rFonts w:hint="eastAsia" w:ascii="方正仿宋_GBK" w:hAnsi="宋体"/>
        </w:rPr>
      </w:pPr>
      <w:r>
        <w:rPr>
          <w:rFonts w:hint="eastAsia" w:ascii="方正仿宋_GBK" w:hAnsi="宋体"/>
        </w:rPr>
        <w:t>2.竞选文件按竞争性比选文件“第七篇竞选文件编制要求”要求签署或盖章。</w:t>
      </w:r>
    </w:p>
    <w:p w14:paraId="41671AB0">
      <w:pPr>
        <w:rPr>
          <w:rFonts w:hint="eastAsia" w:ascii="方正仿宋_GBK" w:hAnsi="宋体"/>
        </w:rPr>
      </w:pPr>
      <w:r>
        <w:rPr>
          <w:rFonts w:hint="eastAsia" w:ascii="方正仿宋_GBK" w:hAnsi="宋体"/>
        </w:rPr>
        <w:t>（五）竞选文件的递交</w:t>
      </w:r>
    </w:p>
    <w:p w14:paraId="68D03F93">
      <w:pPr>
        <w:pStyle w:val="31"/>
        <w:rPr>
          <w:rFonts w:hint="eastAsia" w:ascii="方正仿宋_GBK" w:hAnsi="宋体"/>
          <w:sz w:val="24"/>
        </w:rPr>
      </w:pPr>
      <w:r>
        <w:rPr>
          <w:rFonts w:hint="eastAsia" w:ascii="方正仿宋_GBK" w:hAnsi="宋体"/>
          <w:sz w:val="24"/>
        </w:rPr>
        <w:t>竞选文件的正本、副本以及电子文档均应密封送达比选地点，应在封套上注明比选项目名称、竞选人名称。若正本、副本以及电子文档分别进行密封的，还应在封套上注明“正本”、“副本”、“电子文档”字样。</w:t>
      </w:r>
    </w:p>
    <w:p w14:paraId="3C7783E8">
      <w:pPr>
        <w:rPr>
          <w:rFonts w:hint="eastAsia" w:ascii="方正仿宋_GBK" w:hAnsi="宋体"/>
        </w:rPr>
      </w:pPr>
      <w:r>
        <w:rPr>
          <w:rFonts w:hint="eastAsia" w:ascii="方正仿宋_GBK" w:hAnsi="宋体"/>
        </w:rPr>
        <w:t>（六）竞选人参与人员</w:t>
      </w:r>
    </w:p>
    <w:p w14:paraId="10DADFE6">
      <w:pPr>
        <w:rPr>
          <w:rFonts w:hint="eastAsia" w:ascii="方正仿宋_GBK" w:hAnsi="宋体"/>
        </w:rPr>
      </w:pPr>
      <w:r>
        <w:rPr>
          <w:rFonts w:hint="eastAsia" w:ascii="方正仿宋_GBK" w:hAnsi="宋体"/>
        </w:rPr>
        <w:t>各个竞选人应当派1-2名代表参与比选，至少1人应为法定代表人（或其授权代表）。</w:t>
      </w:r>
    </w:p>
    <w:p w14:paraId="1548E1D2">
      <w:pPr>
        <w:pStyle w:val="3"/>
        <w:adjustRightInd w:val="0"/>
        <w:spacing w:before="0" w:after="0" w:line="400" w:lineRule="exact"/>
        <w:ind w:firstLine="482"/>
        <w:rPr>
          <w:rFonts w:hint="eastAsia" w:ascii="方正仿宋_GBK" w:hAnsi="宋体" w:eastAsia="方正仿宋_GBK"/>
          <w:sz w:val="24"/>
        </w:rPr>
      </w:pPr>
      <w:bookmarkStart w:id="71" w:name="_Toc20669"/>
      <w:r>
        <w:rPr>
          <w:rFonts w:hint="eastAsia" w:ascii="方正仿宋_GBK" w:hAnsi="宋体" w:eastAsia="方正仿宋_GBK"/>
          <w:sz w:val="24"/>
        </w:rPr>
        <w:t>四、竞选保证金</w:t>
      </w:r>
      <w:bookmarkEnd w:id="71"/>
    </w:p>
    <w:p w14:paraId="307DCA99">
      <w:pPr>
        <w:rPr>
          <w:rFonts w:ascii="方正仿宋_GBK" w:hAnsi="宋体"/>
        </w:rPr>
      </w:pPr>
      <w:r>
        <w:rPr>
          <w:rFonts w:ascii="方正仿宋_GBK" w:hAnsi="宋体"/>
        </w:rPr>
        <w:t>（一）竞选保证金的递交</w:t>
      </w:r>
    </w:p>
    <w:p w14:paraId="18777035">
      <w:pPr>
        <w:rPr>
          <w:rFonts w:ascii="方正仿宋_GBK" w:hAnsi="宋体"/>
        </w:rPr>
      </w:pPr>
      <w:r>
        <w:rPr>
          <w:rFonts w:ascii="方正仿宋_GBK" w:hAnsi="宋体"/>
        </w:rPr>
        <w:t>1.竞选保证金通过转账支票、电汇或网银方式缴纳，从竞选人银行账户转出。转账时在备注或用途栏注明项目名称（备注内容：项目名称+竞选保证金，项目名称可简写）。请竞选人注意竞选保证金电子票据的在途时间，未充分计算在途时间造成保证金延迟到账的，竞选人自行负责。该竞选文件无效。</w:t>
      </w:r>
    </w:p>
    <w:p w14:paraId="45A51F5C">
      <w:pPr>
        <w:rPr>
          <w:rFonts w:ascii="方正仿宋_GBK" w:hAnsi="宋体"/>
        </w:rPr>
      </w:pPr>
      <w:r>
        <w:rPr>
          <w:rFonts w:ascii="方正仿宋_GBK" w:hAnsi="宋体"/>
        </w:rPr>
        <w:t>2.竞选保证金账户</w:t>
      </w:r>
    </w:p>
    <w:p w14:paraId="588D1E15">
      <w:pPr>
        <w:adjustRightInd w:val="0"/>
        <w:spacing w:line="360" w:lineRule="auto"/>
        <w:rPr>
          <w:rFonts w:hint="eastAsia" w:ascii="仿宋" w:hAnsi="仿宋" w:eastAsia="仿宋" w:cs="仿宋"/>
          <w:lang w:eastAsia="zh-Hans"/>
        </w:rPr>
      </w:pPr>
      <w:r>
        <w:rPr>
          <w:rFonts w:hint="eastAsia" w:ascii="仿宋" w:hAnsi="仿宋" w:eastAsia="仿宋" w:cs="仿宋"/>
          <w:lang w:eastAsia="zh-Hans"/>
        </w:rPr>
        <w:t>单位名称：重庆瑞盈实业有限公司金瑞智慧生活服务分公司</w:t>
      </w:r>
    </w:p>
    <w:p w14:paraId="073EAE95">
      <w:pPr>
        <w:adjustRightInd w:val="0"/>
        <w:spacing w:line="360" w:lineRule="auto"/>
        <w:rPr>
          <w:rFonts w:hint="eastAsia" w:ascii="仿宋" w:hAnsi="仿宋" w:eastAsia="仿宋" w:cs="仿宋"/>
          <w:lang w:eastAsia="zh-Hans"/>
        </w:rPr>
      </w:pPr>
      <w:r>
        <w:rPr>
          <w:rFonts w:hint="eastAsia" w:ascii="仿宋" w:hAnsi="仿宋" w:eastAsia="仿宋" w:cs="仿宋"/>
          <w:lang w:eastAsia="zh-Hans"/>
        </w:rPr>
        <w:t>纳税人识别号：91500107MAEJW7804W</w:t>
      </w:r>
    </w:p>
    <w:p w14:paraId="4B9B42AC">
      <w:pPr>
        <w:adjustRightInd w:val="0"/>
        <w:spacing w:line="360" w:lineRule="auto"/>
        <w:rPr>
          <w:rFonts w:hint="eastAsia" w:ascii="仿宋" w:hAnsi="仿宋" w:eastAsia="仿宋" w:cs="仿宋"/>
          <w:lang w:eastAsia="zh-Hans"/>
        </w:rPr>
      </w:pPr>
      <w:r>
        <w:rPr>
          <w:rFonts w:hint="eastAsia" w:ascii="仿宋" w:hAnsi="仿宋" w:eastAsia="仿宋" w:cs="仿宋"/>
          <w:lang w:eastAsia="zh-Hans"/>
        </w:rPr>
        <w:t xml:space="preserve">开户行：浙商银行重庆九龙坡支行 </w:t>
      </w:r>
    </w:p>
    <w:p w14:paraId="2CF27763">
      <w:pPr>
        <w:adjustRightInd w:val="0"/>
        <w:spacing w:line="360" w:lineRule="auto"/>
        <w:rPr>
          <w:rFonts w:hint="eastAsia" w:ascii="仿宋" w:hAnsi="仿宋" w:eastAsia="仿宋" w:cs="仿宋"/>
        </w:rPr>
      </w:pPr>
      <w:r>
        <w:rPr>
          <w:rFonts w:hint="eastAsia" w:ascii="仿宋" w:hAnsi="仿宋" w:eastAsia="仿宋" w:cs="仿宋"/>
          <w:lang w:eastAsia="zh-Hans"/>
        </w:rPr>
        <w:t>账号：6530000310120100150066</w:t>
      </w:r>
    </w:p>
    <w:p w14:paraId="7C4EFCF8">
      <w:pPr>
        <w:rPr>
          <w:rFonts w:ascii="方正仿宋_GBK" w:hAnsi="宋体"/>
        </w:rPr>
      </w:pPr>
      <w:r>
        <w:t>(打款时必须填写账号并认真核</w:t>
      </w:r>
      <w:r>
        <w:rPr>
          <w:rFonts w:ascii="方正仿宋_GBK" w:hAnsi="宋体"/>
        </w:rPr>
        <w:t>对，出现保证金未到指定账户的情形由竞选人自行负责）</w:t>
      </w:r>
    </w:p>
    <w:p w14:paraId="3FBC2C26">
      <w:pPr>
        <w:rPr>
          <w:rFonts w:ascii="方正仿宋_GBK" w:hAnsi="宋体"/>
        </w:rPr>
      </w:pPr>
      <w:r>
        <w:rPr>
          <w:rFonts w:ascii="方正仿宋_GBK" w:hAnsi="宋体"/>
        </w:rPr>
        <w:t>以转账支票、电汇或网银方式缴纳的竞选保证金的金额:人民币10000元（大写：人民币壹万元整）。</w:t>
      </w:r>
    </w:p>
    <w:p w14:paraId="66F2F26E">
      <w:pPr>
        <w:rPr>
          <w:rFonts w:ascii="方正仿宋_GBK" w:hAnsi="宋体"/>
        </w:rPr>
      </w:pPr>
      <w:r>
        <w:rPr>
          <w:rFonts w:ascii="方正仿宋_GBK" w:hAnsi="宋体"/>
        </w:rPr>
        <w:t>竞选保证金缴纳截止时间为项目开标时间（以到账时间为准）。</w:t>
      </w:r>
    </w:p>
    <w:p w14:paraId="20ACDD6D">
      <w:pPr>
        <w:ind w:firstLine="560"/>
        <w:rPr>
          <w:rFonts w:ascii="方正仿宋_GBK" w:hAnsi="宋体"/>
          <w:b/>
          <w:bCs/>
          <w:sz w:val="28"/>
          <w:szCs w:val="28"/>
        </w:rPr>
      </w:pPr>
      <w:r>
        <w:rPr>
          <w:rFonts w:ascii="方正仿宋_GBK" w:hAnsi="宋体"/>
          <w:sz w:val="28"/>
          <w:szCs w:val="28"/>
        </w:rPr>
        <w:t>3.</w:t>
      </w:r>
      <w:r>
        <w:rPr>
          <w:rFonts w:ascii="方正仿宋_GBK" w:hAnsi="宋体"/>
          <w:b/>
          <w:bCs/>
          <w:sz w:val="28"/>
          <w:szCs w:val="28"/>
        </w:rPr>
        <w:t>竞选人递交竞选文件时携带竞选保证金银行票据至开评标现场备查核对。</w:t>
      </w:r>
    </w:p>
    <w:p w14:paraId="364D7438">
      <w:pPr>
        <w:rPr>
          <w:rFonts w:ascii="方正仿宋_GBK" w:hAnsi="宋体"/>
        </w:rPr>
      </w:pPr>
      <w:r>
        <w:rPr>
          <w:rFonts w:ascii="方正仿宋_GBK" w:hAnsi="宋体"/>
        </w:rPr>
        <w:t>4.竞选保证金退还方式</w:t>
      </w:r>
    </w:p>
    <w:p w14:paraId="3AE1D74C">
      <w:pPr>
        <w:rPr>
          <w:rFonts w:hint="eastAsia" w:ascii="方正仿宋_GBK" w:hAnsi="宋体"/>
        </w:rPr>
      </w:pPr>
      <w:r>
        <w:rPr>
          <w:rFonts w:hint="eastAsia" w:ascii="方正仿宋_GBK" w:hAnsi="宋体"/>
        </w:rPr>
        <w:t>（1）未</w:t>
      </w:r>
      <w:r>
        <w:rPr>
          <w:rFonts w:hint="eastAsia" w:ascii="方正仿宋_GBK" w:hAnsi="宋体"/>
          <w:lang w:eastAsia="zh-CN"/>
        </w:rPr>
        <w:t>中选人</w:t>
      </w:r>
      <w:r>
        <w:rPr>
          <w:rFonts w:hint="eastAsia" w:ascii="方正仿宋_GBK" w:hAnsi="宋体"/>
        </w:rPr>
        <w:t>的竞选保证金，将在中选通知书发出之日起10个工作日内原途径无息退还。</w:t>
      </w:r>
    </w:p>
    <w:p w14:paraId="4F42250E">
      <w:pPr>
        <w:rPr>
          <w:rFonts w:hint="eastAsia" w:ascii="方正仿宋_GBK" w:hAnsi="宋体"/>
        </w:rPr>
      </w:pPr>
      <w:r>
        <w:rPr>
          <w:rFonts w:hint="eastAsia" w:ascii="方正仿宋_GBK" w:hAnsi="宋体"/>
        </w:rPr>
        <w:t>（2）</w:t>
      </w:r>
      <w:r>
        <w:rPr>
          <w:rFonts w:hint="eastAsia" w:ascii="方正仿宋_GBK" w:hAnsi="宋体"/>
          <w:lang w:eastAsia="zh-CN"/>
        </w:rPr>
        <w:t>中选人</w:t>
      </w:r>
      <w:r>
        <w:rPr>
          <w:rFonts w:hint="eastAsia" w:ascii="方正仿宋_GBK" w:hAnsi="宋体"/>
        </w:rPr>
        <w:t>的竞选保证金，在</w:t>
      </w:r>
      <w:r>
        <w:rPr>
          <w:rFonts w:hint="eastAsia" w:ascii="方正仿宋_GBK" w:hAnsi="宋体"/>
          <w:lang w:eastAsia="zh-CN"/>
        </w:rPr>
        <w:t>中选人</w:t>
      </w:r>
      <w:r>
        <w:rPr>
          <w:rFonts w:hint="eastAsia" w:ascii="方正仿宋_GBK" w:hAnsi="宋体"/>
        </w:rPr>
        <w:t>与比选人签订合同并按要求提交履约保证金后，10个工作日内原途径无息退还。</w:t>
      </w:r>
    </w:p>
    <w:p w14:paraId="5596BD10">
      <w:pPr>
        <w:rPr>
          <w:rFonts w:ascii="方正仿宋_GBK" w:hAnsi="宋体"/>
        </w:rPr>
      </w:pPr>
      <w:r>
        <w:rPr>
          <w:rFonts w:hint="eastAsia" w:ascii="方正仿宋_GBK" w:hAnsi="宋体"/>
        </w:rPr>
        <w:t>（3）因不可抗力等特殊原因导致项目终止比选的，比选人将及时通知竞选人，并在通知发出之日起5个工作日内无息退还竞选保证金。</w:t>
      </w:r>
    </w:p>
    <w:p w14:paraId="198E9DEB">
      <w:pPr>
        <w:rPr>
          <w:rFonts w:ascii="方正仿宋_GBK" w:hAnsi="宋体"/>
        </w:rPr>
      </w:pPr>
      <w:r>
        <w:rPr>
          <w:rFonts w:ascii="方正仿宋_GBK" w:hAnsi="宋体"/>
        </w:rPr>
        <w:t>（二）竞选人有下列情形之一的，比选人可以不退还其竞选保证金：</w:t>
      </w:r>
    </w:p>
    <w:p w14:paraId="014C4FE5">
      <w:pPr>
        <w:rPr>
          <w:rFonts w:ascii="方正仿宋_GBK" w:hAnsi="宋体"/>
        </w:rPr>
      </w:pPr>
      <w:r>
        <w:rPr>
          <w:rFonts w:ascii="方正仿宋_GBK" w:hAnsi="宋体"/>
        </w:rPr>
        <w:t>1. 竞选人在竞选有效期撤销竞选文件的；</w:t>
      </w:r>
    </w:p>
    <w:p w14:paraId="7C95C998">
      <w:pPr>
        <w:rPr>
          <w:rFonts w:ascii="方正仿宋_GBK" w:hAnsi="宋体"/>
        </w:rPr>
      </w:pPr>
      <w:r>
        <w:rPr>
          <w:rFonts w:ascii="方正仿宋_GBK" w:hAnsi="宋体"/>
        </w:rPr>
        <w:t>2. 竞选人在竞选过程中弄虚作假，提供虚假材料的；</w:t>
      </w:r>
    </w:p>
    <w:p w14:paraId="26304042">
      <w:pPr>
        <w:rPr>
          <w:rFonts w:ascii="方正仿宋_GBK" w:hAnsi="宋体"/>
        </w:rPr>
      </w:pPr>
      <w:r>
        <w:rPr>
          <w:rFonts w:ascii="方正仿宋_GBK" w:hAnsi="宋体"/>
        </w:rPr>
        <w:t>3. 中选人无正当理由不与比选人或放弃与比选人签订合同的；</w:t>
      </w:r>
    </w:p>
    <w:p w14:paraId="4A4F3E53">
      <w:pPr>
        <w:rPr>
          <w:rFonts w:ascii="方正仿宋_GBK" w:hAnsi="宋体"/>
        </w:rPr>
      </w:pPr>
      <w:r>
        <w:rPr>
          <w:rFonts w:ascii="方正仿宋_GBK" w:hAnsi="宋体"/>
        </w:rPr>
        <w:t>4. 其他严重扰乱比选程序的。</w:t>
      </w:r>
    </w:p>
    <w:p w14:paraId="1345FB6A">
      <w:pPr>
        <w:rPr>
          <w:rFonts w:ascii="方正仿宋_GBK" w:hAnsi="宋体"/>
        </w:rPr>
      </w:pPr>
      <w:r>
        <w:rPr>
          <w:rFonts w:ascii="方正仿宋_GBK" w:hAnsi="宋体"/>
        </w:rPr>
        <w:t>5. 比选人有权进一步核查竞选人所提供的竞选资料，若发现中选人、中选候选人、竞选人存在提供虚假资料、无效资料、承诺与实际不符的行为，视为弄虚作假，比选人有权取消其中选资格或中选候选人资格，其竞选保证金不予退还。</w:t>
      </w:r>
    </w:p>
    <w:p w14:paraId="564FC817">
      <w:pPr>
        <w:pStyle w:val="3"/>
        <w:adjustRightInd w:val="0"/>
        <w:spacing w:before="0" w:after="0" w:line="400" w:lineRule="exact"/>
        <w:ind w:firstLine="482"/>
        <w:rPr>
          <w:rFonts w:hint="eastAsia" w:ascii="方正仿宋_GBK" w:hAnsi="宋体" w:eastAsia="方正仿宋_GBK"/>
          <w:sz w:val="24"/>
        </w:rPr>
      </w:pPr>
      <w:bookmarkStart w:id="72" w:name="_Toc76462341"/>
      <w:bookmarkStart w:id="73" w:name="_Toc28292"/>
      <w:r>
        <w:rPr>
          <w:rFonts w:hint="eastAsia" w:ascii="方正仿宋_GBK" w:hAnsi="宋体" w:eastAsia="方正仿宋_GBK"/>
          <w:sz w:val="24"/>
        </w:rPr>
        <w:t>五、中选人的确认和变更</w:t>
      </w:r>
      <w:bookmarkEnd w:id="72"/>
      <w:bookmarkEnd w:id="73"/>
    </w:p>
    <w:p w14:paraId="7A5DB8FE">
      <w:pPr>
        <w:outlineLvl w:val="2"/>
        <w:rPr>
          <w:rFonts w:hint="eastAsia" w:ascii="方正仿宋_GBK" w:hAnsi="宋体"/>
        </w:rPr>
      </w:pPr>
      <w:r>
        <w:rPr>
          <w:rFonts w:hint="eastAsia" w:ascii="方正仿宋_GBK" w:hAnsi="宋体"/>
        </w:rPr>
        <w:t>（一）中选人的确认</w:t>
      </w:r>
    </w:p>
    <w:p w14:paraId="425FFA4A">
      <w:pPr>
        <w:rPr>
          <w:rFonts w:hint="eastAsia" w:ascii="方正仿宋_GBK" w:hAnsi="宋体"/>
        </w:rPr>
      </w:pPr>
      <w:r>
        <w:rPr>
          <w:rFonts w:hint="eastAsia" w:ascii="方正仿宋_GBK" w:hAnsi="宋体"/>
        </w:rPr>
        <w:t>比选代理</w:t>
      </w:r>
      <w:r>
        <w:rPr>
          <w:rFonts w:ascii="方正仿宋_GBK" w:hAnsi="宋体"/>
        </w:rPr>
        <w:t>机构应当在评审结束后2个工作日内将评审报告送</w:t>
      </w:r>
      <w:r>
        <w:rPr>
          <w:rFonts w:hint="eastAsia" w:ascii="方正仿宋_GBK" w:hAnsi="宋体"/>
        </w:rPr>
        <w:t>比选人</w:t>
      </w:r>
      <w:r>
        <w:rPr>
          <w:rFonts w:ascii="方正仿宋_GBK" w:hAnsi="宋体"/>
        </w:rPr>
        <w:t>确认。</w:t>
      </w:r>
      <w:r>
        <w:rPr>
          <w:rFonts w:hint="eastAsia" w:ascii="方正仿宋_GBK" w:hAnsi="宋体"/>
        </w:rPr>
        <w:t>比选人</w:t>
      </w:r>
      <w:r>
        <w:rPr>
          <w:rFonts w:ascii="方正仿宋_GBK" w:hAnsi="宋体"/>
        </w:rPr>
        <w:t>应当在收到评审报告后5个工作日内</w:t>
      </w:r>
      <w:r>
        <w:rPr>
          <w:rFonts w:hint="eastAsia" w:ascii="方正仿宋_GBK" w:hAnsi="宋体"/>
        </w:rPr>
        <w:t>，从评审报告提出的成交候选竞选人中按照排序由高到低的原则确定中选人，也可以书面授权比选小组直接确定中选人。比选人逾期未确定中选人且不提出异议的，视为确定评审报告提出的排序第一的竞选人为中选人。</w:t>
      </w:r>
    </w:p>
    <w:p w14:paraId="4E466E32">
      <w:pPr>
        <w:outlineLvl w:val="2"/>
        <w:rPr>
          <w:rFonts w:hint="eastAsia" w:ascii="方正仿宋_GBK" w:hAnsi="宋体"/>
        </w:rPr>
      </w:pPr>
      <w:r>
        <w:rPr>
          <w:rFonts w:hint="eastAsia" w:ascii="方正仿宋_GBK" w:hAnsi="宋体"/>
        </w:rPr>
        <w:t>（二）中选人的变更</w:t>
      </w:r>
    </w:p>
    <w:p w14:paraId="770036F7">
      <w:pPr>
        <w:rPr>
          <w:rFonts w:hint="eastAsia" w:ascii="方正仿宋_GBK" w:hAnsi="宋体"/>
        </w:rPr>
      </w:pPr>
      <w:r>
        <w:rPr>
          <w:rFonts w:hint="eastAsia" w:ascii="方正仿宋_GBK"/>
        </w:rPr>
        <w:t>中选人拒绝与比选人签订合同的，比选人可以按照评标报告推荐的成交候选竞选人顺序，确定排名下一位的候选人为中选人，也可以重新开展采购活动。</w:t>
      </w:r>
    </w:p>
    <w:p w14:paraId="60997C9D">
      <w:pPr>
        <w:pStyle w:val="3"/>
        <w:adjustRightInd w:val="0"/>
        <w:spacing w:before="0" w:after="0" w:line="400" w:lineRule="exact"/>
        <w:ind w:firstLine="482"/>
        <w:rPr>
          <w:rFonts w:hint="eastAsia" w:ascii="方正仿宋_GBK" w:hAnsi="宋体" w:eastAsia="方正仿宋_GBK"/>
          <w:sz w:val="24"/>
          <w:highlight w:val="none"/>
        </w:rPr>
      </w:pPr>
      <w:bookmarkStart w:id="74" w:name="_Toc342913395"/>
      <w:bookmarkStart w:id="75" w:name="_Toc76462342"/>
      <w:bookmarkStart w:id="76" w:name="_Toc102227321"/>
      <w:bookmarkStart w:id="77" w:name="_Toc29116"/>
      <w:r>
        <w:rPr>
          <w:rFonts w:hint="eastAsia" w:ascii="方正仿宋_GBK" w:hAnsi="宋体" w:eastAsia="方正仿宋_GBK"/>
          <w:sz w:val="24"/>
        </w:rPr>
        <w:t>六、成交通知</w:t>
      </w:r>
      <w:bookmarkEnd w:id="74"/>
      <w:bookmarkEnd w:id="75"/>
      <w:bookmarkEnd w:id="76"/>
      <w:bookmarkEnd w:id="77"/>
    </w:p>
    <w:p w14:paraId="0E04251D">
      <w:pPr>
        <w:rPr>
          <w:rFonts w:hint="eastAsia" w:ascii="方正仿宋_GBK" w:hAnsi="宋体"/>
          <w:highlight w:val="none"/>
        </w:rPr>
      </w:pPr>
      <w:r>
        <w:rPr>
          <w:rFonts w:hint="eastAsia" w:ascii="方正仿宋_GBK" w:hAnsi="宋体"/>
          <w:highlight w:val="none"/>
        </w:rPr>
        <w:t>（一）中选人确定后，比选代理机构将在“《重庆市九龙坡区官方新闻网》（http://www.cqjlp.com.cn/）”“《重庆国际投资咨询集团有限公司》（https://www.cqiic.com）”、上发布成交结果公告。</w:t>
      </w:r>
    </w:p>
    <w:p w14:paraId="5EA0FCC2">
      <w:pPr>
        <w:rPr>
          <w:rFonts w:hint="eastAsia" w:ascii="方正仿宋_GBK" w:hAnsi="宋体"/>
          <w:highlight w:val="none"/>
        </w:rPr>
      </w:pPr>
      <w:r>
        <w:rPr>
          <w:rFonts w:hint="eastAsia" w:ascii="方正仿宋_GBK" w:hAnsi="宋体"/>
          <w:highlight w:val="none"/>
        </w:rPr>
        <w:t>（二）结果公告发出同时，比选代理机构将以书面形式发出《成交通知书》。《成交通知书》一经发出即发生法律效力。</w:t>
      </w:r>
    </w:p>
    <w:p w14:paraId="442590C3">
      <w:pPr>
        <w:rPr>
          <w:rFonts w:hint="eastAsia" w:ascii="方正仿宋_GBK" w:hAnsi="宋体"/>
        </w:rPr>
      </w:pPr>
      <w:r>
        <w:rPr>
          <w:rFonts w:hint="eastAsia" w:ascii="方正仿宋_GBK" w:hAnsi="宋体"/>
        </w:rPr>
        <w:t>（三）《成交通知书》将作为签订合同的依据。</w:t>
      </w:r>
    </w:p>
    <w:p w14:paraId="33F54571">
      <w:pPr>
        <w:pStyle w:val="3"/>
        <w:adjustRightInd w:val="0"/>
        <w:spacing w:before="0" w:after="0" w:line="400" w:lineRule="exact"/>
        <w:ind w:firstLine="482"/>
        <w:rPr>
          <w:rFonts w:hint="eastAsia" w:ascii="方正仿宋_GBK" w:hAnsi="宋体" w:eastAsia="方正仿宋_GBK"/>
          <w:sz w:val="24"/>
        </w:rPr>
      </w:pPr>
      <w:bookmarkStart w:id="78" w:name="_Toc31446"/>
      <w:bookmarkStart w:id="79" w:name="_Toc76462343"/>
      <w:r>
        <w:rPr>
          <w:rFonts w:hint="eastAsia" w:ascii="方正仿宋_GBK" w:hAnsi="宋体" w:eastAsia="方正仿宋_GBK"/>
          <w:sz w:val="24"/>
        </w:rPr>
        <w:t>七、关于质疑和投诉</w:t>
      </w:r>
      <w:bookmarkEnd w:id="78"/>
      <w:bookmarkEnd w:id="79"/>
    </w:p>
    <w:p w14:paraId="28302DB7">
      <w:pPr>
        <w:outlineLvl w:val="2"/>
        <w:rPr>
          <w:rFonts w:ascii="方正仿宋_GBK" w:hAnsi="宋体"/>
        </w:rPr>
      </w:pPr>
      <w:r>
        <w:rPr>
          <w:rFonts w:hint="eastAsia" w:ascii="方正仿宋_GBK" w:hAnsi="宋体"/>
        </w:rPr>
        <w:t>（一）质疑</w:t>
      </w:r>
    </w:p>
    <w:p w14:paraId="4D6D96B2">
      <w:pPr>
        <w:rPr>
          <w:rFonts w:ascii="方正仿宋_GBK" w:hAnsi="宋体"/>
        </w:rPr>
      </w:pPr>
      <w:r>
        <w:rPr>
          <w:rFonts w:hint="eastAsia" w:ascii="方正仿宋_GBK" w:hAnsi="宋体"/>
        </w:rPr>
        <w:t>竞选人认为比选文件、比选过程和成交结果使自己的权益收到伤害的，可向比选人或比选代理机构以书面形式提出质疑。</w:t>
      </w:r>
    </w:p>
    <w:p w14:paraId="54DD8E6B">
      <w:pPr>
        <w:rPr>
          <w:rFonts w:ascii="方正仿宋_GBK" w:hAnsi="宋体"/>
        </w:rPr>
      </w:pPr>
      <w:r>
        <w:rPr>
          <w:rFonts w:hint="eastAsia" w:ascii="方正仿宋_GBK" w:hAnsi="宋体"/>
        </w:rPr>
        <w:t xml:space="preserve">提出质疑的应当是参与所质疑项目采购活动的竞选人。 </w:t>
      </w:r>
    </w:p>
    <w:p w14:paraId="3535D943">
      <w:pPr>
        <w:ind w:right="12"/>
        <w:outlineLvl w:val="2"/>
        <w:rPr>
          <w:rFonts w:ascii="方正仿宋_GBK" w:hAnsi="仿宋" w:cs="仿宋"/>
        </w:rPr>
      </w:pPr>
      <w:r>
        <w:rPr>
          <w:rFonts w:hint="eastAsia" w:ascii="方正仿宋_GBK" w:hAnsi="仿宋" w:cs="仿宋"/>
        </w:rPr>
        <w:t>1.质疑时限、内容</w:t>
      </w:r>
    </w:p>
    <w:p w14:paraId="6EA7F477">
      <w:pPr>
        <w:ind w:right="12"/>
        <w:rPr>
          <w:rFonts w:ascii="方正仿宋_GBK" w:hAnsi="仿宋" w:cs="仿宋"/>
        </w:rPr>
      </w:pPr>
      <w:r>
        <w:rPr>
          <w:rFonts w:hint="eastAsia" w:ascii="方正仿宋_GBK" w:hAnsi="仿宋" w:cs="仿宋"/>
        </w:rPr>
        <w:t>竞选人认为比选文件、</w:t>
      </w:r>
      <w:r>
        <w:rPr>
          <w:rFonts w:hint="eastAsia" w:ascii="方正仿宋_GBK" w:hAnsi="宋体"/>
        </w:rPr>
        <w:t>比选</w:t>
      </w:r>
      <w:r>
        <w:rPr>
          <w:rFonts w:hint="eastAsia" w:ascii="方正仿宋_GBK" w:hAnsi="仿宋" w:cs="仿宋"/>
        </w:rPr>
        <w:t>过程、成交结果使自己的权益受到损害的，可以在知道或者应知其权益受到损害之日起7个工作日内，以书面形式向比选人、比选代理机构提出质疑。</w:t>
      </w:r>
    </w:p>
    <w:p w14:paraId="6DA6AB39">
      <w:pPr>
        <w:ind w:right="12"/>
        <w:rPr>
          <w:rFonts w:ascii="方正仿宋_GBK" w:hAnsi="仿宋" w:cs="仿宋"/>
        </w:rPr>
      </w:pPr>
      <w:r>
        <w:rPr>
          <w:rFonts w:hint="eastAsia" w:ascii="方正仿宋_GBK" w:hAnsi="仿宋" w:cs="仿宋"/>
        </w:rPr>
        <w:t>1.2竞选人提出质疑应当提交质疑函和必要的证明材料，质疑函应当包括下列内容：</w:t>
      </w:r>
    </w:p>
    <w:p w14:paraId="1B6FAAF7">
      <w:pPr>
        <w:ind w:right="12"/>
        <w:rPr>
          <w:rFonts w:ascii="方正仿宋_GBK" w:hAnsi="仿宋" w:cs="仿宋"/>
        </w:rPr>
      </w:pPr>
      <w:r>
        <w:rPr>
          <w:rFonts w:hint="eastAsia" w:ascii="方正仿宋_GBK" w:hAnsi="仿宋" w:cs="仿宋"/>
        </w:rPr>
        <w:t>1.2.1竞选人的姓名或者名称、地址、邮编、联系人及联系电话；</w:t>
      </w:r>
    </w:p>
    <w:p w14:paraId="5988D8BB">
      <w:pPr>
        <w:ind w:right="12"/>
        <w:rPr>
          <w:rFonts w:ascii="方正仿宋_GBK" w:hAnsi="仿宋" w:cs="仿宋"/>
        </w:rPr>
      </w:pPr>
      <w:r>
        <w:rPr>
          <w:rFonts w:hint="eastAsia" w:ascii="方正仿宋_GBK" w:hAnsi="仿宋" w:cs="仿宋"/>
        </w:rPr>
        <w:t>1.2.2质疑项目的名称、项目编号；</w:t>
      </w:r>
    </w:p>
    <w:p w14:paraId="229F2239">
      <w:pPr>
        <w:ind w:right="12"/>
        <w:rPr>
          <w:rFonts w:ascii="方正仿宋_GBK" w:hAnsi="仿宋" w:cs="仿宋"/>
        </w:rPr>
      </w:pPr>
      <w:r>
        <w:rPr>
          <w:rFonts w:hint="eastAsia" w:ascii="方正仿宋_GBK" w:hAnsi="仿宋" w:cs="仿宋"/>
        </w:rPr>
        <w:t>1.2.3具体、明确的质疑事项和与质疑事项相关的请求；</w:t>
      </w:r>
    </w:p>
    <w:p w14:paraId="49863723">
      <w:pPr>
        <w:ind w:right="12"/>
        <w:rPr>
          <w:rFonts w:ascii="方正仿宋_GBK" w:hAnsi="仿宋" w:cs="仿宋"/>
        </w:rPr>
      </w:pPr>
      <w:r>
        <w:rPr>
          <w:rFonts w:hint="eastAsia" w:ascii="方正仿宋_GBK" w:hAnsi="仿宋" w:cs="仿宋"/>
        </w:rPr>
        <w:t>1.2.4事实依据；</w:t>
      </w:r>
    </w:p>
    <w:p w14:paraId="116E6DF2">
      <w:pPr>
        <w:ind w:right="12"/>
        <w:rPr>
          <w:rFonts w:ascii="方正仿宋_GBK" w:hAnsi="仿宋" w:cs="仿宋"/>
        </w:rPr>
      </w:pPr>
      <w:r>
        <w:rPr>
          <w:rFonts w:hint="eastAsia" w:ascii="方正仿宋_GBK" w:hAnsi="仿宋" w:cs="仿宋"/>
        </w:rPr>
        <w:t>1.2.5必要的法律依据；</w:t>
      </w:r>
    </w:p>
    <w:p w14:paraId="7C21331E">
      <w:pPr>
        <w:ind w:right="12"/>
        <w:rPr>
          <w:rFonts w:ascii="方正仿宋_GBK" w:hAnsi="仿宋" w:cs="仿宋"/>
        </w:rPr>
      </w:pPr>
      <w:r>
        <w:rPr>
          <w:rFonts w:hint="eastAsia" w:ascii="方正仿宋_GBK" w:hAnsi="仿宋" w:cs="仿宋"/>
        </w:rPr>
        <w:t>1.2.6提出质疑的日期；</w:t>
      </w:r>
    </w:p>
    <w:p w14:paraId="5C0818AC">
      <w:pPr>
        <w:ind w:right="12"/>
        <w:rPr>
          <w:rFonts w:ascii="方正仿宋_GBK" w:hAnsi="仿宋" w:cs="仿宋"/>
        </w:rPr>
      </w:pPr>
      <w:r>
        <w:rPr>
          <w:rFonts w:hint="eastAsia" w:ascii="方正仿宋_GBK" w:hAnsi="仿宋" w:cs="仿宋"/>
        </w:rPr>
        <w:t>1.2.7营业执照（或事业单位法人证书）复印件；</w:t>
      </w:r>
    </w:p>
    <w:p w14:paraId="401408F8">
      <w:pPr>
        <w:ind w:right="12"/>
        <w:rPr>
          <w:rFonts w:ascii="方正仿宋_GBK" w:hAnsi="仿宋" w:cs="仿宋"/>
        </w:rPr>
      </w:pPr>
      <w:r>
        <w:rPr>
          <w:rFonts w:hint="eastAsia" w:ascii="方正仿宋_GBK" w:hAnsi="仿宋" w:cs="仿宋"/>
        </w:rPr>
        <w:t>1.2.8法定代表人授权委托书原件、法定代表人身份证复印件和其授权代表的身份证复印件；</w:t>
      </w:r>
    </w:p>
    <w:p w14:paraId="29332739">
      <w:pPr>
        <w:ind w:right="12"/>
        <w:rPr>
          <w:rFonts w:ascii="方正仿宋_GBK" w:hAnsi="仿宋" w:cs="仿宋"/>
        </w:rPr>
      </w:pPr>
      <w:r>
        <w:rPr>
          <w:rFonts w:hint="eastAsia" w:ascii="方正仿宋_GBK" w:hAnsi="仿宋" w:cs="仿宋"/>
        </w:rPr>
        <w:t>1.3竞选人为法人或者其他组织的，质疑函应当由法定代表人、主要负责人，或者其授权代表签字或者盖章，并加盖公章。</w:t>
      </w:r>
    </w:p>
    <w:p w14:paraId="3B3F25C9">
      <w:pPr>
        <w:ind w:right="12"/>
        <w:outlineLvl w:val="2"/>
        <w:rPr>
          <w:rFonts w:ascii="方正仿宋_GBK" w:hAnsi="仿宋" w:cs="仿宋"/>
        </w:rPr>
      </w:pPr>
      <w:r>
        <w:rPr>
          <w:rFonts w:hint="eastAsia" w:ascii="方正仿宋_GBK" w:hAnsi="仿宋" w:cs="仿宋"/>
        </w:rPr>
        <w:t>2.质疑答复</w:t>
      </w:r>
    </w:p>
    <w:p w14:paraId="453C496F">
      <w:pPr>
        <w:ind w:right="12"/>
        <w:rPr>
          <w:rFonts w:ascii="方正仿宋_GBK" w:hAnsi="仿宋" w:cs="仿宋"/>
        </w:rPr>
      </w:pPr>
      <w:r>
        <w:rPr>
          <w:rFonts w:hint="eastAsia" w:ascii="方正仿宋_GBK" w:hAnsi="仿宋" w:cs="仿宋"/>
        </w:rPr>
        <w:t>比选人、比选代理机构应当在收到竞选人的书面质疑后七个工作日内作出答复，并以书面形式通知质疑竞选人和其他有关竞选人。</w:t>
      </w:r>
    </w:p>
    <w:p w14:paraId="0DD2E630">
      <w:pPr>
        <w:ind w:right="12"/>
        <w:outlineLvl w:val="2"/>
        <w:rPr>
          <w:rFonts w:ascii="方正仿宋_GBK" w:hAnsi="仿宋" w:cs="仿宋"/>
        </w:rPr>
      </w:pPr>
      <w:r>
        <w:rPr>
          <w:rFonts w:hint="eastAsia" w:ascii="方正仿宋_GBK" w:hAnsi="仿宋" w:cs="仿宋"/>
        </w:rPr>
        <w:t>（二）投诉</w:t>
      </w:r>
    </w:p>
    <w:p w14:paraId="79F827C1">
      <w:pPr>
        <w:ind w:right="12"/>
        <w:rPr>
          <w:rFonts w:hint="eastAsia" w:ascii="方正仿宋_GBK" w:hAnsi="仿宋" w:cs="仿宋"/>
        </w:rPr>
      </w:pPr>
      <w:r>
        <w:rPr>
          <w:rFonts w:hint="eastAsia" w:ascii="方正仿宋_GBK" w:hAnsi="仿宋" w:cs="仿宋"/>
        </w:rPr>
        <w:t>1.竞选人对比选人、比选代理机构的答复不满意，或者比选人、比选代理机构未在规定时间内作出答复的，可以在答复期满后15个工作日内向比选单位品质服务部门提起投诉，投诉电话023-68882161；</w:t>
      </w:r>
    </w:p>
    <w:p w14:paraId="142435D2">
      <w:pPr>
        <w:ind w:right="12"/>
        <w:rPr>
          <w:rFonts w:ascii="方正仿宋_GBK" w:hAnsi="仿宋" w:cs="仿宋"/>
        </w:rPr>
      </w:pPr>
      <w:r>
        <w:rPr>
          <w:rFonts w:hint="eastAsia" w:ascii="方正仿宋_GBK" w:hAnsi="仿宋" w:cs="仿宋"/>
        </w:rPr>
        <w:t>2.投诉书应当使用中文，相关当事人提供外文书证或者外国语视听资料的，应当附有中文译本，由翻译机构盖章或者翻译人员签名；</w:t>
      </w:r>
      <w:r>
        <w:rPr>
          <w:rFonts w:ascii="方正仿宋_GBK" w:hAnsi="仿宋" w:cs="仿宋"/>
        </w:rPr>
        <w:t xml:space="preserve"> </w:t>
      </w:r>
    </w:p>
    <w:p w14:paraId="6E96C247">
      <w:pPr>
        <w:rPr>
          <w:rFonts w:hint="eastAsia" w:ascii="方正仿宋_GBK" w:hAnsi="宋体"/>
        </w:rPr>
      </w:pPr>
      <w:r>
        <w:rPr>
          <w:rFonts w:hint="eastAsia" w:ascii="方正仿宋_GBK" w:hAnsi="仿宋" w:cs="仿宋"/>
        </w:rPr>
        <w:t>3.在确定受理投诉后，比选单位品质服务部门自受理投诉之日起30个工作日内（需要检验、检测、鉴定、专家评审以及需要投诉人补正材料的，所需时间不计算在投诉处理期限内）对投诉事项做出处理决定。</w:t>
      </w:r>
    </w:p>
    <w:p w14:paraId="437F5C0D">
      <w:pPr>
        <w:pStyle w:val="3"/>
        <w:adjustRightInd w:val="0"/>
        <w:spacing w:before="0" w:after="0" w:line="400" w:lineRule="exact"/>
        <w:ind w:firstLine="482"/>
        <w:rPr>
          <w:rFonts w:hint="eastAsia" w:ascii="方正仿宋_GBK" w:hAnsi="宋体" w:eastAsia="方正仿宋_GBK"/>
          <w:sz w:val="24"/>
        </w:rPr>
      </w:pPr>
      <w:bookmarkStart w:id="80" w:name="_Toc76462344"/>
      <w:bookmarkStart w:id="81" w:name="_Toc28147"/>
      <w:r>
        <w:rPr>
          <w:rFonts w:hint="eastAsia" w:ascii="方正仿宋_GBK" w:hAnsi="宋体" w:eastAsia="方正仿宋_GBK"/>
          <w:sz w:val="24"/>
        </w:rPr>
        <w:t>八、比选代理服务费</w:t>
      </w:r>
      <w:bookmarkEnd w:id="80"/>
      <w:bookmarkEnd w:id="81"/>
    </w:p>
    <w:p w14:paraId="3AF15F11">
      <w:pPr>
        <w:rPr>
          <w:rFonts w:ascii="方正仿宋_GBK" w:hAnsi="宋体"/>
          <w:b/>
        </w:rPr>
      </w:pPr>
      <w:bookmarkStart w:id="82" w:name="OLE_LINK7"/>
      <w:bookmarkStart w:id="83" w:name="OLE_LINK8"/>
      <w:r>
        <w:rPr>
          <w:rFonts w:hint="eastAsia" w:ascii="方正仿宋_GBK" w:hAnsi="宋体"/>
        </w:rPr>
        <w:t>（一）本项目比选代理服务费由中选人在领取中选通知书前一次性支付给代理机构，比选代理服务费的收取标准按照以下标准执行:</w:t>
      </w:r>
    </w:p>
    <w:bookmarkEnd w:id="82"/>
    <w:bookmarkEnd w:id="83"/>
    <w:p w14:paraId="48911CF9">
      <w:pPr>
        <w:ind w:firstLine="360" w:firstLineChars="150"/>
        <w:rPr>
          <w:rFonts w:hint="eastAsia" w:ascii="方正仿宋_GBK" w:hAnsi="宋体"/>
        </w:rPr>
      </w:pPr>
      <w:r>
        <w:rPr>
          <w:rFonts w:hint="eastAsia" w:ascii="方正仿宋_GBK" w:hAnsi="宋体"/>
        </w:rPr>
        <w:t>本次比选代理服务费为包干价，比选代理服务费金额计取方式如下（本项目按服务</w:t>
      </w:r>
      <w:r>
        <w:rPr>
          <w:rFonts w:hint="eastAsia" w:ascii="方正仿宋_GBK" w:hAnsi="宋体"/>
          <w:lang w:val="en-US" w:eastAsia="zh-CN"/>
        </w:rPr>
        <w:t>比选</w:t>
      </w:r>
      <w:r>
        <w:rPr>
          <w:rFonts w:hint="eastAsia" w:ascii="方正仿宋_GBK" w:hAnsi="宋体"/>
        </w:rPr>
        <w:t>计取），</w:t>
      </w:r>
      <w:r>
        <w:rPr>
          <w:rFonts w:hint="eastAsia" w:ascii="方正仿宋_GBK" w:hAnsi="宋体"/>
          <w:lang w:val="en-US" w:eastAsia="zh-CN"/>
        </w:rPr>
        <w:t>代理费</w:t>
      </w:r>
      <w:r>
        <w:rPr>
          <w:rFonts w:hint="eastAsia" w:ascii="方正仿宋_GBK" w:hAnsi="宋体"/>
        </w:rPr>
        <w:t>以最终中</w:t>
      </w:r>
      <w:r>
        <w:rPr>
          <w:rFonts w:hint="eastAsia" w:ascii="方正仿宋_GBK" w:hAnsi="宋体"/>
          <w:lang w:val="en-US" w:eastAsia="zh-CN"/>
        </w:rPr>
        <w:t>选</w:t>
      </w:r>
      <w:r>
        <w:rPr>
          <w:rFonts w:hint="eastAsia" w:ascii="方正仿宋_GBK" w:hAnsi="宋体"/>
        </w:rPr>
        <w:t>金额为基数，参照《招标代理服务收费管理暂行办法》（计价格〔2002〕1980号）标准按累进制计取费用，并参照以下标准进行下浮，咨询费用下浮比例为：费用1000万内（不含1000万）下浮30%</w:t>
      </w:r>
      <w:r>
        <w:rPr>
          <w:rFonts w:hint="eastAsia" w:ascii="方正仿宋_GBK" w:hAnsi="宋体"/>
          <w:lang w:eastAsia="zh-CN"/>
        </w:rPr>
        <w:t>，</w:t>
      </w:r>
      <w:r>
        <w:rPr>
          <w:rFonts w:hint="eastAsia" w:ascii="方正仿宋_GBK" w:hAnsi="宋体"/>
          <w:lang w:val="en-US" w:eastAsia="zh-CN"/>
        </w:rPr>
        <w:t>最多</w:t>
      </w:r>
      <w:r>
        <w:rPr>
          <w:rFonts w:hint="eastAsia" w:ascii="方正仿宋_GBK" w:hAnsi="宋体" w:cs="Times New Roman"/>
          <w:lang w:val="en-US" w:eastAsia="zh-CN"/>
        </w:rPr>
        <w:t>不超过</w:t>
      </w:r>
      <w:r>
        <w:rPr>
          <w:rFonts w:hint="eastAsia" w:ascii="方正仿宋_GBK" w:hAnsi="宋体" w:eastAsia="方正仿宋_GBK" w:cs="Times New Roman"/>
          <w:sz w:val="24"/>
          <w:szCs w:val="24"/>
          <w:lang w:val="zh-CN" w:eastAsia="zh-CN"/>
        </w:rPr>
        <w:t>0.74 万元</w:t>
      </w:r>
      <w:r>
        <w:rPr>
          <w:rFonts w:hint="eastAsia" w:ascii="方正仿宋_GBK" w:hAnsi="宋体"/>
          <w:lang w:eastAsia="zh-CN"/>
        </w:rPr>
        <w:t>。</w:t>
      </w:r>
    </w:p>
    <w:p w14:paraId="7AB55487">
      <w:pPr>
        <w:ind w:firstLine="360" w:firstLineChars="150"/>
        <w:rPr>
          <w:rFonts w:hint="eastAsia" w:ascii="方正仿宋_GBK" w:hAnsi="宋体"/>
        </w:rPr>
      </w:pPr>
      <w:r>
        <w:rPr>
          <w:rFonts w:hint="eastAsia" w:ascii="方正仿宋_GBK" w:hAnsi="宋体"/>
        </w:rPr>
        <w:t>（二）比选代理服务费账户</w:t>
      </w:r>
    </w:p>
    <w:p w14:paraId="48355236">
      <w:pPr>
        <w:ind w:firstLine="360" w:firstLineChars="150"/>
        <w:rPr>
          <w:rFonts w:hint="eastAsia" w:ascii="方正仿宋_GBK" w:hAnsi="宋体"/>
        </w:rPr>
      </w:pPr>
      <w:r>
        <w:rPr>
          <w:rFonts w:hint="eastAsia" w:ascii="方正仿宋_GBK" w:hAnsi="宋体"/>
        </w:rPr>
        <w:t>银行账户名称: 重庆市工程管理有限公司</w:t>
      </w:r>
    </w:p>
    <w:p w14:paraId="18C49C59">
      <w:pPr>
        <w:ind w:firstLine="360" w:firstLineChars="150"/>
        <w:rPr>
          <w:rFonts w:hint="eastAsia" w:ascii="方正仿宋_GBK" w:hAnsi="宋体"/>
        </w:rPr>
      </w:pPr>
      <w:r>
        <w:rPr>
          <w:rFonts w:hint="eastAsia" w:ascii="方正仿宋_GBK" w:hAnsi="宋体"/>
        </w:rPr>
        <w:t>银行名称: 兴业银行重庆分行营业部</w:t>
      </w:r>
    </w:p>
    <w:p w14:paraId="433DDD00">
      <w:pPr>
        <w:ind w:firstLine="360" w:firstLineChars="150"/>
        <w:rPr>
          <w:rFonts w:hint="eastAsia" w:ascii="方正仿宋_GBK" w:hAnsi="宋体"/>
        </w:rPr>
      </w:pPr>
      <w:r>
        <w:rPr>
          <w:rFonts w:hint="eastAsia" w:ascii="方正仿宋_GBK" w:hAnsi="宋体"/>
        </w:rPr>
        <w:t>银行账号: 346010100105415993</w:t>
      </w:r>
    </w:p>
    <w:p w14:paraId="5E784D64">
      <w:pPr>
        <w:ind w:firstLine="360" w:firstLineChars="150"/>
        <w:rPr>
          <w:rFonts w:hint="eastAsia" w:ascii="方正仿宋_GBK" w:hAnsi="宋体"/>
        </w:rPr>
      </w:pPr>
      <w:r>
        <w:rPr>
          <w:rFonts w:hint="eastAsia" w:ascii="方正仿宋_GBK" w:hAnsi="宋体"/>
        </w:rPr>
        <w:t>账号开户行联行号：309653011070</w:t>
      </w:r>
    </w:p>
    <w:p w14:paraId="5CB34D5F">
      <w:pPr>
        <w:pStyle w:val="3"/>
        <w:adjustRightInd w:val="0"/>
        <w:spacing w:before="0" w:after="0" w:line="400" w:lineRule="exact"/>
        <w:ind w:firstLine="482"/>
        <w:rPr>
          <w:rFonts w:hint="eastAsia" w:ascii="方正仿宋_GBK" w:hAnsi="宋体" w:eastAsia="方正仿宋_GBK"/>
          <w:sz w:val="24"/>
        </w:rPr>
      </w:pPr>
      <w:bookmarkStart w:id="84" w:name="_Toc102227322"/>
      <w:bookmarkStart w:id="85" w:name="_Toc21837"/>
      <w:bookmarkStart w:id="86" w:name="_Toc76462346"/>
      <w:bookmarkStart w:id="87" w:name="_Toc342913396"/>
      <w:bookmarkStart w:id="88" w:name="_Toc11641055"/>
      <w:bookmarkStart w:id="89" w:name="_Toc12789059"/>
      <w:r>
        <w:rPr>
          <w:rFonts w:hint="eastAsia" w:ascii="方正仿宋_GBK" w:hAnsi="宋体" w:eastAsia="方正仿宋_GBK"/>
          <w:sz w:val="24"/>
        </w:rPr>
        <w:t>九、签订</w:t>
      </w:r>
      <w:bookmarkEnd w:id="84"/>
      <w:r>
        <w:rPr>
          <w:rFonts w:hint="eastAsia" w:ascii="方正仿宋_GBK" w:hAnsi="宋体" w:eastAsia="方正仿宋_GBK"/>
          <w:sz w:val="24"/>
        </w:rPr>
        <w:t>合同</w:t>
      </w:r>
      <w:bookmarkEnd w:id="85"/>
      <w:bookmarkEnd w:id="86"/>
      <w:bookmarkEnd w:id="87"/>
    </w:p>
    <w:p w14:paraId="10AEC917">
      <w:pPr>
        <w:ind w:firstLine="360" w:firstLineChars="150"/>
        <w:rPr>
          <w:rFonts w:hint="eastAsia" w:ascii="方正仿宋_GBK" w:hAnsi="宋体"/>
        </w:rPr>
      </w:pPr>
      <w:r>
        <w:rPr>
          <w:rFonts w:hint="eastAsia" w:ascii="方正仿宋_GBK" w:hAnsi="宋体"/>
        </w:rPr>
        <w:t>（一）</w:t>
      </w:r>
      <w:r>
        <w:rPr>
          <w:rFonts w:hint="eastAsia" w:ascii="方正仿宋_GBK" w:hAnsi="方正仿宋_GBK"/>
        </w:rPr>
        <w:t>比选人原则上应在成交通知书发出之日起二十日内和中选人签订采购合同，无正当理由不得拒绝或拖延合同签订</w:t>
      </w:r>
      <w:r>
        <w:rPr>
          <w:rFonts w:hint="eastAsia" w:ascii="方正仿宋_GBK" w:hAnsi="宋体"/>
        </w:rPr>
        <w:t>。所签订的合同不得对竞争性比选文件和竞选人的竞选文件作实质性修改。其他未尽事宜由比选人和中选人在采购合同中详细约定。</w:t>
      </w:r>
    </w:p>
    <w:p w14:paraId="46128509">
      <w:pPr>
        <w:ind w:firstLine="360" w:firstLineChars="150"/>
        <w:rPr>
          <w:rFonts w:hint="eastAsia" w:ascii="方正仿宋_GBK" w:hAnsi="宋体"/>
        </w:rPr>
      </w:pPr>
      <w:r>
        <w:rPr>
          <w:rFonts w:hint="eastAsia" w:ascii="方正仿宋_GBK" w:hAnsi="宋体"/>
        </w:rPr>
        <w:t>（二）竞争性比选文件、竞选人的竞选文件及澄清文件等，均为签订采购合同的依据。</w:t>
      </w:r>
    </w:p>
    <w:p w14:paraId="24C78504">
      <w:pPr>
        <w:ind w:firstLine="360" w:firstLineChars="150"/>
        <w:rPr>
          <w:rFonts w:hint="eastAsia" w:ascii="方正仿宋_GBK" w:hAnsi="宋体"/>
        </w:rPr>
      </w:pPr>
      <w:r>
        <w:rPr>
          <w:rFonts w:hint="eastAsia" w:ascii="方正仿宋_GBK" w:hAnsi="宋体"/>
        </w:rPr>
        <w:t>（三）合同生效条款由供需双方约定，法律、行政法规规定应当办理批准、登记等手续后生效的合同，依照其规定。</w:t>
      </w:r>
    </w:p>
    <w:p w14:paraId="22C957FA">
      <w:pPr>
        <w:ind w:firstLine="360" w:firstLineChars="150"/>
        <w:rPr>
          <w:rFonts w:hint="eastAsia" w:ascii="方正仿宋_GBK" w:hAnsi="宋体"/>
        </w:rPr>
      </w:pPr>
      <w:r>
        <w:rPr>
          <w:rFonts w:hint="eastAsia" w:ascii="方正仿宋_GBK" w:hAnsi="宋体"/>
        </w:rPr>
        <w:t>（四）相关单位要求适用合同通用格式版本的，应按其要求另行签订其他合同。</w:t>
      </w:r>
    </w:p>
    <w:p w14:paraId="24B2EFB9">
      <w:pPr>
        <w:ind w:firstLine="360" w:firstLineChars="150"/>
        <w:rPr>
          <w:rFonts w:hint="eastAsia" w:ascii="方正仿宋_GBK" w:hAnsi="宋体"/>
        </w:rPr>
      </w:pPr>
      <w:r>
        <w:rPr>
          <w:rFonts w:hint="eastAsia" w:ascii="方正仿宋_GBK" w:hAnsi="宋体"/>
        </w:rPr>
        <w:t>（五）比选人要求中选人提供履约保证金的，应当在竞争性比选文件中予以约定。中选人履约完毕后，比选人根据比选文件规定无息退还其履约保证金。</w:t>
      </w:r>
    </w:p>
    <w:p w14:paraId="4596A361">
      <w:pPr>
        <w:pStyle w:val="3"/>
        <w:spacing w:before="0" w:after="0" w:line="360" w:lineRule="auto"/>
        <w:ind w:firstLine="0" w:firstLineChars="0"/>
        <w:jc w:val="center"/>
        <w:rPr>
          <w:rFonts w:hint="eastAsia" w:ascii="方正小标宋_GBK" w:hAnsi="宋体" w:eastAsia="方正小标宋_GBK"/>
          <w:b w:val="0"/>
          <w:sz w:val="36"/>
          <w:szCs w:val="30"/>
        </w:rPr>
      </w:pPr>
      <w:r>
        <w:rPr>
          <w:rFonts w:ascii="宋体" w:hAnsi="宋体" w:eastAsia="宋体"/>
          <w:sz w:val="36"/>
          <w:szCs w:val="30"/>
        </w:rPr>
        <w:br w:type="page"/>
      </w:r>
      <w:bookmarkStart w:id="90" w:name="_Toc22875"/>
      <w:bookmarkStart w:id="91" w:name="_Toc76462348"/>
      <w:r>
        <w:rPr>
          <w:rFonts w:hint="eastAsia" w:ascii="方正小标宋_GBK" w:hAnsi="宋体" w:eastAsia="方正小标宋_GBK"/>
          <w:b w:val="0"/>
          <w:sz w:val="36"/>
          <w:szCs w:val="30"/>
        </w:rPr>
        <w:t xml:space="preserve">第六篇  </w:t>
      </w:r>
      <w:bookmarkEnd w:id="88"/>
      <w:bookmarkEnd w:id="89"/>
      <w:r>
        <w:rPr>
          <w:rFonts w:hint="eastAsia" w:ascii="方正小标宋_GBK" w:hAnsi="宋体" w:eastAsia="方正小标宋_GBK"/>
          <w:b w:val="0"/>
          <w:sz w:val="36"/>
          <w:szCs w:val="30"/>
        </w:rPr>
        <w:t>采购合同</w:t>
      </w:r>
      <w:bookmarkEnd w:id="90"/>
      <w:bookmarkEnd w:id="91"/>
    </w:p>
    <w:p w14:paraId="1FFC166D">
      <w:pPr>
        <w:pStyle w:val="3"/>
        <w:ind w:firstLine="0" w:firstLineChars="0"/>
        <w:jc w:val="center"/>
        <w:rPr>
          <w:rFonts w:hint="eastAsia"/>
          <w:szCs w:val="21"/>
        </w:rPr>
      </w:pPr>
      <w:bookmarkStart w:id="92" w:name="_Hlt41879464"/>
      <w:bookmarkEnd w:id="92"/>
      <w:bookmarkStart w:id="93" w:name="_Toc76462349"/>
      <w:bookmarkStart w:id="94" w:name="_Toc27214"/>
      <w:r>
        <w:rPr>
          <w:rFonts w:hint="eastAsia" w:ascii="方正仿宋_GBK" w:hAnsi="方正仿宋_GBK" w:eastAsia="方正仿宋_GBK" w:cs="方正仿宋_GBK"/>
          <w:b/>
          <w:bCs w:val="0"/>
          <w:sz w:val="32"/>
          <w:szCs w:val="24"/>
        </w:rPr>
        <w:t>华岩片区项目秩序选聘三方服务单位</w:t>
      </w:r>
    </w:p>
    <w:p w14:paraId="6EDAC65D">
      <w:pPr>
        <w:adjustRightInd w:val="0"/>
        <w:spacing w:line="360" w:lineRule="auto"/>
        <w:rPr>
          <w:szCs w:val="21"/>
          <w:highlight w:val="none"/>
        </w:rPr>
      </w:pPr>
      <w:r>
        <w:rPr>
          <w:rFonts w:hint="eastAsia"/>
          <w:szCs w:val="21"/>
        </w:rPr>
        <w:t>发包方</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 xml:space="preserve">                            </w:t>
      </w:r>
      <w:r>
        <w:rPr>
          <w:rFonts w:hint="eastAsia"/>
          <w:szCs w:val="21"/>
          <w:highlight w:val="none"/>
          <w:u w:val="single"/>
        </w:rPr>
        <w:t xml:space="preserve"> </w:t>
      </w:r>
      <w:r>
        <w:rPr>
          <w:rFonts w:hint="eastAsia"/>
          <w:szCs w:val="21"/>
          <w:highlight w:val="none"/>
        </w:rPr>
        <w:t>（甲方）</w:t>
      </w:r>
    </w:p>
    <w:p w14:paraId="4B909FFD">
      <w:pPr>
        <w:adjustRightInd w:val="0"/>
        <w:spacing w:line="360" w:lineRule="auto"/>
        <w:rPr>
          <w:szCs w:val="21"/>
          <w:highlight w:val="none"/>
          <w:u w:val="single"/>
        </w:rPr>
      </w:pPr>
      <w:r>
        <w:rPr>
          <w:rFonts w:hint="eastAsia"/>
          <w:szCs w:val="21"/>
          <w:highlight w:val="none"/>
        </w:rPr>
        <w:t>法定代表人/负责人：</w:t>
      </w:r>
      <w:r>
        <w:rPr>
          <w:rFonts w:hint="eastAsia"/>
          <w:szCs w:val="21"/>
          <w:highlight w:val="none"/>
          <w:u w:val="single"/>
        </w:rPr>
        <w:t xml:space="preserve">         </w:t>
      </w:r>
      <w:r>
        <w:rPr>
          <w:rFonts w:hint="eastAsia"/>
          <w:szCs w:val="21"/>
          <w:highlight w:val="none"/>
          <w:u w:val="single"/>
          <w:lang w:val="en-US" w:eastAsia="zh-CN"/>
        </w:rPr>
        <w:t xml:space="preserve"> </w:t>
      </w:r>
      <w:r>
        <w:rPr>
          <w:rFonts w:hint="eastAsia"/>
          <w:szCs w:val="21"/>
          <w:highlight w:val="none"/>
          <w:u w:val="single"/>
        </w:rPr>
        <w:t xml:space="preserve">          </w:t>
      </w:r>
    </w:p>
    <w:p w14:paraId="76C03642">
      <w:pPr>
        <w:adjustRightInd w:val="0"/>
        <w:spacing w:line="360" w:lineRule="auto"/>
        <w:rPr>
          <w:szCs w:val="21"/>
          <w:highlight w:val="none"/>
        </w:rPr>
      </w:pPr>
      <w:r>
        <w:rPr>
          <w:rFonts w:hint="eastAsia"/>
          <w:szCs w:val="21"/>
          <w:highlight w:val="none"/>
        </w:rPr>
        <w:t>联系电话：</w:t>
      </w:r>
      <w:r>
        <w:rPr>
          <w:rFonts w:hint="eastAsia"/>
          <w:szCs w:val="21"/>
          <w:highlight w:val="none"/>
          <w:u w:val="single"/>
        </w:rPr>
        <w:t xml:space="preserve">        </w:t>
      </w:r>
      <w:r>
        <w:rPr>
          <w:rFonts w:hint="eastAsia"/>
          <w:szCs w:val="21"/>
          <w:highlight w:val="none"/>
          <w:u w:val="single"/>
          <w:lang w:val="en-US" w:eastAsia="zh-CN"/>
        </w:rPr>
        <w:t xml:space="preserve">  </w:t>
      </w:r>
      <w:r>
        <w:rPr>
          <w:rFonts w:hint="eastAsia"/>
          <w:szCs w:val="21"/>
          <w:highlight w:val="none"/>
          <w:u w:val="single"/>
        </w:rPr>
        <w:t xml:space="preserve">      </w:t>
      </w:r>
      <w:r>
        <w:rPr>
          <w:rFonts w:hint="eastAsia"/>
          <w:szCs w:val="21"/>
          <w:highlight w:val="none"/>
          <w:u w:val="single"/>
          <w:lang w:val="en-US" w:eastAsia="zh-CN"/>
        </w:rPr>
        <w:t xml:space="preserve">         </w:t>
      </w:r>
      <w:r>
        <w:rPr>
          <w:rFonts w:hint="eastAsia"/>
          <w:szCs w:val="21"/>
          <w:highlight w:val="none"/>
          <w:u w:val="single"/>
        </w:rPr>
        <w:t xml:space="preserve">    </w:t>
      </w:r>
    </w:p>
    <w:p w14:paraId="338C16A2">
      <w:pPr>
        <w:adjustRightInd w:val="0"/>
        <w:spacing w:line="360" w:lineRule="auto"/>
        <w:rPr>
          <w:szCs w:val="21"/>
          <w:highlight w:val="none"/>
        </w:rPr>
      </w:pPr>
      <w:r>
        <w:rPr>
          <w:rFonts w:hint="eastAsia"/>
          <w:szCs w:val="21"/>
          <w:highlight w:val="none"/>
        </w:rPr>
        <w:t>通讯地址：</w:t>
      </w:r>
      <w:r>
        <w:rPr>
          <w:rFonts w:hint="eastAsia"/>
          <w:szCs w:val="21"/>
          <w:highlight w:val="none"/>
          <w:u w:val="single"/>
        </w:rPr>
        <w:t xml:space="preserve">    </w:t>
      </w:r>
      <w:r>
        <w:rPr>
          <w:rFonts w:hint="eastAsia"/>
          <w:szCs w:val="21"/>
          <w:highlight w:val="none"/>
          <w:u w:val="single"/>
          <w:lang w:val="en-US" w:eastAsia="zh-CN"/>
        </w:rPr>
        <w:t xml:space="preserve">                      </w:t>
      </w:r>
      <w:r>
        <w:rPr>
          <w:rFonts w:hint="eastAsia"/>
          <w:szCs w:val="21"/>
          <w:highlight w:val="none"/>
          <w:u w:val="single"/>
        </w:rPr>
        <w:t xml:space="preserve">   </w:t>
      </w:r>
    </w:p>
    <w:p w14:paraId="29EC63E1">
      <w:pPr>
        <w:adjustRightInd w:val="0"/>
        <w:spacing w:line="360" w:lineRule="auto"/>
        <w:rPr>
          <w:szCs w:val="21"/>
          <w:highlight w:val="none"/>
        </w:rPr>
      </w:pPr>
    </w:p>
    <w:p w14:paraId="2DB15ABB">
      <w:pPr>
        <w:adjustRightInd w:val="0"/>
        <w:spacing w:line="360" w:lineRule="auto"/>
        <w:rPr>
          <w:szCs w:val="21"/>
        </w:rPr>
      </w:pPr>
      <w:r>
        <w:rPr>
          <w:rFonts w:hint="eastAsia"/>
          <w:szCs w:val="21"/>
        </w:rPr>
        <w:t>承包方：</w:t>
      </w:r>
      <w:r>
        <w:rPr>
          <w:rFonts w:hint="eastAsia"/>
          <w:szCs w:val="21"/>
          <w:u w:val="single"/>
        </w:rPr>
        <w:t xml:space="preserve">                                  </w:t>
      </w:r>
      <w:r>
        <w:rPr>
          <w:rFonts w:hint="eastAsia"/>
          <w:szCs w:val="21"/>
        </w:rPr>
        <w:t>（乙方）</w:t>
      </w:r>
    </w:p>
    <w:p w14:paraId="2F2E40E6">
      <w:pPr>
        <w:adjustRightInd w:val="0"/>
        <w:spacing w:line="360" w:lineRule="auto"/>
        <w:rPr>
          <w:szCs w:val="21"/>
          <w:u w:val="single"/>
        </w:rPr>
      </w:pPr>
      <w:r>
        <w:rPr>
          <w:rFonts w:hint="eastAsia"/>
          <w:szCs w:val="21"/>
        </w:rPr>
        <w:t>法定代表人/负责人：</w:t>
      </w:r>
      <w:r>
        <w:rPr>
          <w:rFonts w:hint="eastAsia"/>
          <w:szCs w:val="21"/>
          <w:u w:val="single"/>
        </w:rPr>
        <w:t xml:space="preserve">                       </w:t>
      </w:r>
    </w:p>
    <w:p w14:paraId="2D15A218">
      <w:pPr>
        <w:adjustRightInd w:val="0"/>
        <w:spacing w:line="360" w:lineRule="auto"/>
        <w:rPr>
          <w:szCs w:val="21"/>
        </w:rPr>
      </w:pPr>
      <w:r>
        <w:rPr>
          <w:rFonts w:hint="eastAsia"/>
          <w:szCs w:val="21"/>
        </w:rPr>
        <w:t>联系电话：</w:t>
      </w:r>
      <w:r>
        <w:rPr>
          <w:rFonts w:hint="eastAsia"/>
          <w:szCs w:val="21"/>
          <w:u w:val="single"/>
        </w:rPr>
        <w:t xml:space="preserve">                                </w:t>
      </w:r>
    </w:p>
    <w:p w14:paraId="765E95B3">
      <w:pPr>
        <w:adjustRightInd w:val="0"/>
        <w:spacing w:line="360" w:lineRule="auto"/>
        <w:rPr>
          <w:szCs w:val="21"/>
        </w:rPr>
      </w:pPr>
      <w:r>
        <w:rPr>
          <w:rFonts w:hint="eastAsia"/>
          <w:szCs w:val="21"/>
        </w:rPr>
        <w:t>通讯地址：</w:t>
      </w:r>
      <w:r>
        <w:rPr>
          <w:rFonts w:hint="eastAsia"/>
          <w:szCs w:val="21"/>
          <w:u w:val="single"/>
        </w:rPr>
        <w:t xml:space="preserve">                                </w:t>
      </w:r>
    </w:p>
    <w:p w14:paraId="0C6091E3">
      <w:pPr>
        <w:adjustRightInd w:val="0"/>
        <w:spacing w:line="360" w:lineRule="auto"/>
        <w:rPr>
          <w:szCs w:val="21"/>
        </w:rPr>
      </w:pPr>
    </w:p>
    <w:p w14:paraId="6F90F881">
      <w:pPr>
        <w:adjustRightInd w:val="0"/>
        <w:spacing w:line="360" w:lineRule="auto"/>
        <w:rPr>
          <w:szCs w:val="21"/>
        </w:rPr>
      </w:pPr>
      <w:r>
        <w:rPr>
          <w:rFonts w:hint="eastAsia"/>
          <w:szCs w:val="21"/>
        </w:rPr>
        <w:t>根据《中华人民共和国民法典》、《物业管理条例》、《消防法》、《治安管理处罚法》、《保安服务管理条例》及其他相关法律法规，本着真诚合作，互惠互利的原则，经甲乙双方友好协商，确定由乙方承包甲方管理的</w:t>
      </w:r>
      <w:r>
        <w:rPr>
          <w:rFonts w:hint="eastAsia"/>
          <w:szCs w:val="21"/>
          <w:u w:val="single"/>
        </w:rPr>
        <w:t>华岩片区项目秩序选聘三方服务单位</w:t>
      </w:r>
      <w:r>
        <w:rPr>
          <w:rFonts w:hint="eastAsia"/>
          <w:szCs w:val="21"/>
        </w:rPr>
        <w:t>项目的秩序安保服务工作达成一致意见，签订以下合同：</w:t>
      </w:r>
    </w:p>
    <w:p w14:paraId="2CA6AE1C">
      <w:pPr>
        <w:adjustRightInd w:val="0"/>
        <w:spacing w:line="360" w:lineRule="auto"/>
        <w:rPr>
          <w:szCs w:val="21"/>
        </w:rPr>
      </w:pPr>
      <w:r>
        <w:rPr>
          <w:rFonts w:hint="eastAsia"/>
          <w:szCs w:val="21"/>
        </w:rPr>
        <w:t>第一条  服务范围</w:t>
      </w:r>
    </w:p>
    <w:p w14:paraId="3B4E496B">
      <w:pPr>
        <w:adjustRightInd w:val="0"/>
        <w:spacing w:line="360" w:lineRule="auto"/>
        <w:rPr>
          <w:szCs w:val="21"/>
        </w:rPr>
      </w:pPr>
      <w:r>
        <w:rPr>
          <w:rFonts w:hint="eastAsia"/>
          <w:szCs w:val="21"/>
        </w:rPr>
        <w:t>一、项目名称：</w:t>
      </w:r>
      <w:r>
        <w:rPr>
          <w:rFonts w:hint="eastAsia"/>
          <w:szCs w:val="21"/>
          <w:u w:val="single"/>
        </w:rPr>
        <w:t xml:space="preserve">  华岩片区项目秩序选聘三方服务单位  。</w:t>
      </w:r>
      <w:r>
        <w:rPr>
          <w:rFonts w:hint="eastAsia"/>
          <w:szCs w:val="21"/>
        </w:rPr>
        <w:t xml:space="preserve">        </w:t>
      </w:r>
    </w:p>
    <w:p w14:paraId="11F475B7">
      <w:pPr>
        <w:adjustRightInd w:val="0"/>
        <w:spacing w:line="360" w:lineRule="auto"/>
        <w:rPr>
          <w:szCs w:val="21"/>
        </w:rPr>
      </w:pPr>
      <w:r>
        <w:rPr>
          <w:rFonts w:hint="eastAsia"/>
          <w:szCs w:val="21"/>
        </w:rPr>
        <w:t>二、项目位置：</w:t>
      </w:r>
      <w:r>
        <w:rPr>
          <w:rFonts w:hint="eastAsia"/>
          <w:szCs w:val="21"/>
          <w:u w:val="single"/>
        </w:rPr>
        <w:t xml:space="preserve">  重庆市九龙坡区华福大道北段66号、 重庆市九龙坡区彩云大道10号润璟广场3楼重庆市九龙坡区婚姻登记中心。 </w:t>
      </w:r>
      <w:r>
        <w:rPr>
          <w:rFonts w:hint="eastAsia"/>
          <w:szCs w:val="21"/>
        </w:rPr>
        <w:t xml:space="preserve">        </w:t>
      </w:r>
    </w:p>
    <w:p w14:paraId="237A8B66">
      <w:pPr>
        <w:adjustRightInd w:val="0"/>
        <w:spacing w:line="360" w:lineRule="auto"/>
        <w:rPr>
          <w:szCs w:val="21"/>
        </w:rPr>
      </w:pPr>
      <w:r>
        <w:rPr>
          <w:rFonts w:hint="eastAsia"/>
          <w:szCs w:val="21"/>
        </w:rPr>
        <w:t>三、管理面积 ：</w:t>
      </w:r>
      <w:r>
        <w:rPr>
          <w:rFonts w:hint="eastAsia"/>
          <w:szCs w:val="21"/>
          <w:u w:val="single"/>
        </w:rPr>
        <w:t xml:space="preserve">  英诺双创67096.21㎡ 、 九龙坡区民政局婚姻登记处：800m²。         </w:t>
      </w:r>
      <w:r>
        <w:rPr>
          <w:rFonts w:hint="eastAsia"/>
          <w:szCs w:val="21"/>
        </w:rPr>
        <w:t xml:space="preserve">        </w:t>
      </w:r>
    </w:p>
    <w:p w14:paraId="28247A14">
      <w:pPr>
        <w:adjustRightInd w:val="0"/>
        <w:spacing w:line="360" w:lineRule="auto"/>
        <w:rPr>
          <w:rFonts w:eastAsia="宋体"/>
          <w:szCs w:val="21"/>
        </w:rPr>
      </w:pPr>
      <w:r>
        <w:rPr>
          <w:rFonts w:hint="eastAsia"/>
          <w:szCs w:val="21"/>
        </w:rPr>
        <w:t xml:space="preserve">四、秩序安保服务区域物业类型：     </w:t>
      </w:r>
    </w:p>
    <w:p w14:paraId="63F9C2C4">
      <w:pPr>
        <w:adjustRightInd w:val="0"/>
        <w:spacing w:line="360" w:lineRule="auto"/>
        <w:rPr>
          <w:szCs w:val="21"/>
        </w:rPr>
      </w:pPr>
      <w:r>
        <w:rPr>
          <w:rFonts w:hint="eastAsia"/>
          <w:szCs w:val="21"/>
        </w:rPr>
        <w:t>五、秩序安保服务范围：乙方为合作项目提供秩序安保服务</w:t>
      </w:r>
      <w:r>
        <w:rPr>
          <w:rFonts w:hint="eastAsia"/>
          <w:szCs w:val="21"/>
          <w:lang w:eastAsia="zh-CN"/>
        </w:rPr>
        <w:t>。</w:t>
      </w:r>
    </w:p>
    <w:p w14:paraId="3737D5E2">
      <w:pPr>
        <w:adjustRightInd w:val="0"/>
        <w:spacing w:line="360" w:lineRule="auto"/>
        <w:rPr>
          <w:szCs w:val="21"/>
        </w:rPr>
      </w:pPr>
    </w:p>
    <w:p w14:paraId="1D9EBFE5">
      <w:pPr>
        <w:adjustRightInd w:val="0"/>
        <w:spacing w:line="360" w:lineRule="auto"/>
        <w:rPr>
          <w:szCs w:val="21"/>
        </w:rPr>
      </w:pPr>
      <w:r>
        <w:rPr>
          <w:rFonts w:hint="eastAsia"/>
          <w:szCs w:val="21"/>
        </w:rPr>
        <w:t>第二条  服务内容</w:t>
      </w:r>
    </w:p>
    <w:p w14:paraId="4E2AD4DC">
      <w:pPr>
        <w:adjustRightInd w:val="0"/>
        <w:spacing w:line="360" w:lineRule="auto"/>
        <w:rPr>
          <w:szCs w:val="21"/>
        </w:rPr>
      </w:pPr>
      <w:r>
        <w:rPr>
          <w:rFonts w:hint="eastAsia"/>
          <w:szCs w:val="21"/>
        </w:rPr>
        <w:t>一、安全管理：包括但不限于24小时公区治安与消防巡逻、安全监控、秩序维护、公共区域财产安全维护；安全注意事项提示及安全管理宣导、培训；制定安全巡视、安全管控、隐患排查、隐患防控整改方案并实施；安防、消防及紧急求助等报警核查处置；安全事故的处理及涉及安全方面的外联工作等。</w:t>
      </w:r>
    </w:p>
    <w:p w14:paraId="41E907C5">
      <w:pPr>
        <w:adjustRightInd w:val="0"/>
        <w:spacing w:line="360" w:lineRule="auto"/>
        <w:rPr>
          <w:szCs w:val="21"/>
        </w:rPr>
      </w:pPr>
      <w:r>
        <w:rPr>
          <w:rFonts w:hint="eastAsia"/>
          <w:szCs w:val="21"/>
        </w:rPr>
        <w:t>二、消防管理：熟悉消防设备设施、掌握各种消防器材使用方法、组建志愿消防队及协助开展服务区域内消防培训</w:t>
      </w:r>
      <w:r>
        <w:rPr>
          <w:szCs w:val="21"/>
        </w:rPr>
        <w:t>/</w:t>
      </w:r>
      <w:r>
        <w:rPr>
          <w:rFonts w:hint="eastAsia"/>
          <w:szCs w:val="21"/>
        </w:rPr>
        <w:t>演习等活动，做好消防法规要求的各项巡查巡检。</w:t>
      </w:r>
    </w:p>
    <w:p w14:paraId="2F291631">
      <w:pPr>
        <w:adjustRightInd w:val="0"/>
        <w:spacing w:line="360" w:lineRule="auto"/>
        <w:rPr>
          <w:szCs w:val="21"/>
        </w:rPr>
      </w:pPr>
      <w:r>
        <w:rPr>
          <w:rFonts w:hint="eastAsia"/>
          <w:szCs w:val="21"/>
        </w:rPr>
        <w:t>三、出入管理：业主进出服务以及外来访客、看房客户、施工人员、工作人员等的出入管控及车辆、物品进出核实登记及管理。</w:t>
      </w:r>
    </w:p>
    <w:p w14:paraId="55B25F53">
      <w:pPr>
        <w:adjustRightInd w:val="0"/>
        <w:spacing w:line="360" w:lineRule="auto"/>
        <w:rPr>
          <w:szCs w:val="21"/>
        </w:rPr>
      </w:pPr>
      <w:r>
        <w:rPr>
          <w:rFonts w:hint="eastAsia"/>
          <w:szCs w:val="21"/>
        </w:rPr>
        <w:t>四、车辆管理：车辆登记、进出控制、疏导及指引，交通与车辆停放秩序的管理。</w:t>
      </w:r>
    </w:p>
    <w:p w14:paraId="09D9D458">
      <w:pPr>
        <w:adjustRightInd w:val="0"/>
        <w:spacing w:line="360" w:lineRule="auto"/>
        <w:rPr>
          <w:szCs w:val="21"/>
        </w:rPr>
      </w:pPr>
      <w:r>
        <w:rPr>
          <w:rFonts w:hint="eastAsia"/>
          <w:szCs w:val="21"/>
        </w:rPr>
        <w:t>五、紧急事件处理：现场控制、急救、通知相关部门及采取措施防止事态扩大等。</w:t>
      </w:r>
    </w:p>
    <w:p w14:paraId="1FDCFC66">
      <w:pPr>
        <w:adjustRightInd w:val="0"/>
        <w:spacing w:line="360" w:lineRule="auto"/>
        <w:rPr>
          <w:szCs w:val="21"/>
        </w:rPr>
      </w:pPr>
      <w:r>
        <w:rPr>
          <w:rFonts w:hint="eastAsia"/>
          <w:szCs w:val="21"/>
        </w:rPr>
        <w:t>六、对外联系：涉及公安派出所、国安局、街道办事处、消防管理部门等单位，配合甲方进行。</w:t>
      </w:r>
    </w:p>
    <w:p w14:paraId="0BD4B3ED">
      <w:pPr>
        <w:adjustRightInd w:val="0"/>
        <w:spacing w:line="360" w:lineRule="auto"/>
        <w:rPr>
          <w:szCs w:val="21"/>
        </w:rPr>
      </w:pPr>
      <w:r>
        <w:rPr>
          <w:rFonts w:hint="eastAsia"/>
          <w:szCs w:val="21"/>
        </w:rPr>
        <w:t>七、钥匙管理：服务区域公共区域、通道及秩序类值班室、设备房等钥匙管理。</w:t>
      </w:r>
    </w:p>
    <w:p w14:paraId="3673305F">
      <w:pPr>
        <w:adjustRightInd w:val="0"/>
        <w:spacing w:line="360" w:lineRule="auto"/>
        <w:rPr>
          <w:szCs w:val="21"/>
        </w:rPr>
      </w:pPr>
      <w:r>
        <w:rPr>
          <w:rFonts w:hint="eastAsia"/>
          <w:szCs w:val="21"/>
        </w:rPr>
        <w:t>八、协助公安机关处理服务区域内发生的治安、刑事案件。</w:t>
      </w:r>
    </w:p>
    <w:p w14:paraId="52F903EF">
      <w:pPr>
        <w:adjustRightInd w:val="0"/>
        <w:spacing w:line="360" w:lineRule="auto"/>
        <w:rPr>
          <w:szCs w:val="21"/>
        </w:rPr>
      </w:pPr>
      <w:r>
        <w:rPr>
          <w:rFonts w:hint="eastAsia"/>
          <w:szCs w:val="21"/>
        </w:rPr>
        <w:t>九、门禁、车管、周界报警、监控等安全防护设施的管理与维护。</w:t>
      </w:r>
    </w:p>
    <w:p w14:paraId="7E9D4B08">
      <w:pPr>
        <w:adjustRightInd w:val="0"/>
        <w:spacing w:line="360" w:lineRule="auto"/>
        <w:rPr>
          <w:szCs w:val="21"/>
        </w:rPr>
      </w:pPr>
      <w:r>
        <w:rPr>
          <w:rFonts w:hint="eastAsia"/>
          <w:szCs w:val="21"/>
        </w:rPr>
        <w:t>十、甲方安排乙方处理的与本项目治安、消防、交通、秩序维护及客户服务有关的其他事务。</w:t>
      </w:r>
    </w:p>
    <w:p w14:paraId="53EC8603">
      <w:pPr>
        <w:adjustRightInd w:val="0"/>
        <w:spacing w:line="360" w:lineRule="auto"/>
        <w:rPr>
          <w:rFonts w:hint="eastAsia"/>
          <w:szCs w:val="21"/>
        </w:rPr>
      </w:pPr>
    </w:p>
    <w:p w14:paraId="7324D90C">
      <w:pPr>
        <w:adjustRightInd w:val="0"/>
        <w:spacing w:line="360" w:lineRule="auto"/>
        <w:rPr>
          <w:szCs w:val="21"/>
        </w:rPr>
      </w:pPr>
      <w:r>
        <w:rPr>
          <w:rFonts w:hint="eastAsia"/>
          <w:szCs w:val="21"/>
        </w:rPr>
        <w:t>第三条  配置要求</w:t>
      </w:r>
    </w:p>
    <w:p w14:paraId="3DBF2A82">
      <w:pPr>
        <w:adjustRightInd w:val="0"/>
        <w:spacing w:line="360" w:lineRule="auto"/>
        <w:rPr>
          <w:szCs w:val="21"/>
        </w:rPr>
      </w:pPr>
      <w:r>
        <w:rPr>
          <w:rFonts w:hint="eastAsia"/>
          <w:szCs w:val="21"/>
        </w:rPr>
        <w:t>一、人员配置要求</w:t>
      </w:r>
    </w:p>
    <w:p w14:paraId="69147BC1">
      <w:pPr>
        <w:adjustRightInd w:val="0"/>
        <w:spacing w:line="360" w:lineRule="auto"/>
        <w:rPr>
          <w:szCs w:val="21"/>
        </w:rPr>
      </w:pPr>
      <w:r>
        <w:rPr>
          <w:rFonts w:hint="eastAsia"/>
          <w:szCs w:val="21"/>
        </w:rPr>
        <w:t>根据</w:t>
      </w:r>
      <w:r>
        <w:rPr>
          <w:rFonts w:hint="eastAsia"/>
          <w:szCs w:val="21"/>
          <w:u w:val="single"/>
        </w:rPr>
        <w:t xml:space="preserve"> 华岩片区项目秩序选聘三方服务单位 </w:t>
      </w:r>
      <w:r>
        <w:rPr>
          <w:rFonts w:hint="eastAsia"/>
          <w:szCs w:val="21"/>
        </w:rPr>
        <w:t>项目实际情况，经甲乙双方充分沟通，月编制人员定为</w:t>
      </w:r>
      <w:r>
        <w:rPr>
          <w:rFonts w:hint="eastAsia"/>
          <w:szCs w:val="21"/>
          <w:u w:val="single"/>
        </w:rPr>
        <w:t xml:space="preserve">   10  </w:t>
      </w:r>
      <w:r>
        <w:rPr>
          <w:rFonts w:hint="eastAsia"/>
          <w:szCs w:val="21"/>
        </w:rPr>
        <w:t>人，日到岗人数不得少于</w:t>
      </w:r>
      <w:r>
        <w:rPr>
          <w:rFonts w:hint="eastAsia"/>
          <w:szCs w:val="21"/>
          <w:u w:val="single"/>
        </w:rPr>
        <w:t xml:space="preserve">    8   </w:t>
      </w:r>
      <w:r>
        <w:rPr>
          <w:rFonts w:hint="eastAsia"/>
          <w:szCs w:val="21"/>
        </w:rPr>
        <w:t>人（其中白班到岗不得少于</w:t>
      </w:r>
      <w:r>
        <w:rPr>
          <w:rFonts w:hint="eastAsia"/>
          <w:szCs w:val="21"/>
          <w:u w:val="single"/>
        </w:rPr>
        <w:t xml:space="preserve">  5  </w:t>
      </w:r>
      <w:r>
        <w:rPr>
          <w:rFonts w:hint="eastAsia"/>
          <w:szCs w:val="21"/>
        </w:rPr>
        <w:t>人，夜班到岗不得少于</w:t>
      </w:r>
      <w:r>
        <w:rPr>
          <w:rFonts w:hint="eastAsia"/>
          <w:szCs w:val="21"/>
          <w:u w:val="single"/>
        </w:rPr>
        <w:t xml:space="preserve">  3   </w:t>
      </w:r>
      <w:r>
        <w:rPr>
          <w:rFonts w:hint="eastAsia"/>
          <w:szCs w:val="21"/>
        </w:rPr>
        <w:t>人），</w:t>
      </w:r>
      <w:r>
        <w:rPr>
          <w:szCs w:val="21"/>
        </w:rPr>
        <w:t>乙方</w:t>
      </w:r>
      <w:r>
        <w:rPr>
          <w:rFonts w:hint="eastAsia"/>
          <w:szCs w:val="21"/>
        </w:rPr>
        <w:t>派驻人员排班实行</w:t>
      </w:r>
      <w:r>
        <w:rPr>
          <w:rFonts w:hint="eastAsia"/>
          <w:szCs w:val="21"/>
          <w:u w:val="single"/>
        </w:rPr>
        <w:t xml:space="preserve">  12 </w:t>
      </w:r>
      <w:r>
        <w:rPr>
          <w:szCs w:val="21"/>
        </w:rPr>
        <w:t>小时两班</w:t>
      </w:r>
      <w:r>
        <w:rPr>
          <w:color w:val="auto"/>
          <w:szCs w:val="21"/>
        </w:rPr>
        <w:t>倒</w:t>
      </w:r>
      <w:r>
        <w:rPr>
          <w:rFonts w:hint="eastAsia"/>
          <w:color w:val="auto"/>
          <w:szCs w:val="21"/>
        </w:rPr>
        <w:t>（特殊情况根据甲方运营安排为准）</w:t>
      </w:r>
      <w:r>
        <w:rPr>
          <w:color w:val="auto"/>
          <w:szCs w:val="21"/>
        </w:rPr>
        <w:t>，</w:t>
      </w:r>
      <w:r>
        <w:rPr>
          <w:rFonts w:hint="eastAsia"/>
          <w:color w:val="auto"/>
          <w:szCs w:val="21"/>
        </w:rPr>
        <w:t>月度标准出勤天数为【周单休</w:t>
      </w:r>
      <w:r>
        <w:rPr>
          <w:rFonts w:hint="eastAsia"/>
          <w:color w:val="auto"/>
          <w:szCs w:val="21"/>
          <w:u w:val="single"/>
        </w:rPr>
        <w:t xml:space="preserve"> 1 </w:t>
      </w:r>
      <w:r>
        <w:rPr>
          <w:rFonts w:hint="eastAsia"/>
          <w:color w:val="auto"/>
          <w:szCs w:val="21"/>
        </w:rPr>
        <w:t>天，包含轮休、节</w:t>
      </w:r>
      <w:r>
        <w:rPr>
          <w:rFonts w:hint="eastAsia"/>
          <w:szCs w:val="21"/>
        </w:rPr>
        <w:t>假日】。</w:t>
      </w:r>
    </w:p>
    <w:p w14:paraId="016B4AF1">
      <w:pPr>
        <w:adjustRightInd w:val="0"/>
        <w:spacing w:line="360" w:lineRule="auto"/>
        <w:rPr>
          <w:szCs w:val="21"/>
        </w:rPr>
      </w:pPr>
      <w:r>
        <w:rPr>
          <w:rFonts w:hint="eastAsia"/>
          <w:szCs w:val="21"/>
        </w:rPr>
        <w:t>岗位人员标准详见附件一。岗位定编详见附件二。</w:t>
      </w:r>
    </w:p>
    <w:p w14:paraId="20A9B2AA">
      <w:pPr>
        <w:adjustRightInd w:val="0"/>
        <w:spacing w:line="360" w:lineRule="auto"/>
        <w:rPr>
          <w:szCs w:val="21"/>
        </w:rPr>
      </w:pPr>
      <w:r>
        <w:rPr>
          <w:rFonts w:hint="eastAsia"/>
          <w:szCs w:val="21"/>
        </w:rPr>
        <w:t>二、设备配置要求</w:t>
      </w:r>
    </w:p>
    <w:p w14:paraId="1582D9F7">
      <w:pPr>
        <w:adjustRightInd w:val="0"/>
        <w:spacing w:line="360" w:lineRule="auto"/>
        <w:rPr>
          <w:szCs w:val="21"/>
        </w:rPr>
      </w:pPr>
      <w:r>
        <w:rPr>
          <w:rFonts w:hint="eastAsia"/>
          <w:szCs w:val="21"/>
        </w:rPr>
        <w:t>装备机具配置详见附件三。</w:t>
      </w:r>
    </w:p>
    <w:p w14:paraId="77E98D23">
      <w:pPr>
        <w:adjustRightInd w:val="0"/>
        <w:spacing w:line="360" w:lineRule="auto"/>
        <w:rPr>
          <w:szCs w:val="21"/>
        </w:rPr>
      </w:pPr>
      <w:r>
        <w:rPr>
          <w:rFonts w:hint="eastAsia"/>
          <w:szCs w:val="21"/>
        </w:rPr>
        <w:t>其它配置要求</w:t>
      </w:r>
    </w:p>
    <w:p w14:paraId="6B05A827">
      <w:pPr>
        <w:adjustRightInd w:val="0"/>
        <w:spacing w:line="360" w:lineRule="auto"/>
        <w:rPr>
          <w:szCs w:val="21"/>
        </w:rPr>
      </w:pPr>
      <w:r>
        <w:rPr>
          <w:rFonts w:hint="eastAsia"/>
          <w:szCs w:val="21"/>
        </w:rPr>
        <w:t>无</w:t>
      </w:r>
    </w:p>
    <w:p w14:paraId="014BFCA1">
      <w:pPr>
        <w:adjustRightInd w:val="0"/>
        <w:spacing w:line="360" w:lineRule="auto"/>
        <w:rPr>
          <w:rFonts w:hint="eastAsia" w:eastAsia="宋体"/>
          <w:szCs w:val="21"/>
        </w:rPr>
      </w:pPr>
      <w:r>
        <w:rPr>
          <w:rFonts w:hint="eastAsia"/>
          <w:szCs w:val="21"/>
        </w:rPr>
        <w:t xml:space="preserve">第四条 服务期限 </w:t>
      </w:r>
    </w:p>
    <w:p w14:paraId="1FBEE47D">
      <w:pPr>
        <w:adjustRightInd w:val="0"/>
        <w:spacing w:line="360" w:lineRule="auto"/>
        <w:rPr>
          <w:szCs w:val="21"/>
        </w:rPr>
      </w:pPr>
      <w:r>
        <w:rPr>
          <w:rFonts w:hint="eastAsia"/>
          <w:szCs w:val="21"/>
        </w:rPr>
        <w:t>一、本合同服务期限从</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日起至</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日止（乙方实际提供服务时间与本期限不一致的，以甲方通知进场时间为准）。</w:t>
      </w:r>
    </w:p>
    <w:p w14:paraId="79F2F829">
      <w:pPr>
        <w:adjustRightInd w:val="0"/>
        <w:spacing w:line="360" w:lineRule="auto"/>
        <w:rPr>
          <w:szCs w:val="21"/>
        </w:rPr>
      </w:pPr>
      <w:r>
        <w:rPr>
          <w:rFonts w:hint="eastAsia"/>
          <w:szCs w:val="21"/>
        </w:rPr>
        <w:t>二、合同试用期【</w:t>
      </w:r>
      <w:r>
        <w:rPr>
          <w:rFonts w:hint="eastAsia"/>
          <w:szCs w:val="21"/>
          <w:lang w:val="en-US" w:eastAsia="zh-CN"/>
        </w:rPr>
        <w:t>/</w:t>
      </w:r>
      <w:r>
        <w:rPr>
          <w:rFonts w:hint="eastAsia"/>
          <w:szCs w:val="21"/>
        </w:rPr>
        <w:t>】个月，从乙方实际</w:t>
      </w:r>
      <w:r>
        <w:rPr>
          <w:szCs w:val="21"/>
        </w:rPr>
        <w:t>进场当天</w:t>
      </w:r>
      <w:r>
        <w:rPr>
          <w:rFonts w:hint="eastAsia"/>
          <w:szCs w:val="21"/>
        </w:rPr>
        <w:t>开始计算</w:t>
      </w:r>
      <w:r>
        <w:rPr>
          <w:szCs w:val="21"/>
        </w:rPr>
        <w:t>。</w:t>
      </w:r>
      <w:r>
        <w:rPr>
          <w:rFonts w:hint="eastAsia"/>
          <w:szCs w:val="21"/>
        </w:rPr>
        <w:t>试用期内如甲方认为乙方无能力完成本合同约定，甲方有权</w:t>
      </w:r>
      <w:r>
        <w:rPr>
          <w:szCs w:val="21"/>
        </w:rPr>
        <w:t>自主决定并</w:t>
      </w:r>
      <w:r>
        <w:rPr>
          <w:rFonts w:hint="eastAsia"/>
          <w:szCs w:val="21"/>
        </w:rPr>
        <w:t>通知乙方终止合同，而无需承担违约责任和赔偿责任，乙方自行承担因此造成的一切后果。具体操作方式为</w:t>
      </w:r>
      <w:r>
        <w:rPr>
          <w:szCs w:val="21"/>
        </w:rPr>
        <w:t>甲方</w:t>
      </w:r>
      <w:r>
        <w:rPr>
          <w:rFonts w:hint="eastAsia"/>
          <w:szCs w:val="21"/>
        </w:rPr>
        <w:t>应</w:t>
      </w:r>
      <w:r>
        <w:rPr>
          <w:szCs w:val="21"/>
        </w:rPr>
        <w:t>在</w:t>
      </w:r>
      <w:r>
        <w:rPr>
          <w:rFonts w:hint="eastAsia"/>
          <w:szCs w:val="21"/>
        </w:rPr>
        <w:t>试用期</w:t>
      </w:r>
      <w:r>
        <w:rPr>
          <w:szCs w:val="21"/>
        </w:rPr>
        <w:t>满前向乙方发出书面</w:t>
      </w:r>
      <w:r>
        <w:rPr>
          <w:rFonts w:hint="eastAsia"/>
          <w:szCs w:val="21"/>
        </w:rPr>
        <w:t>通知</w:t>
      </w:r>
      <w:r>
        <w:rPr>
          <w:szCs w:val="21"/>
        </w:rPr>
        <w:t>，</w:t>
      </w:r>
      <w:r>
        <w:rPr>
          <w:rFonts w:hint="eastAsia"/>
          <w:szCs w:val="21"/>
        </w:rPr>
        <w:t>通知到达乙方当日时合同终止，双方据实结算</w:t>
      </w:r>
      <w:r>
        <w:rPr>
          <w:szCs w:val="21"/>
        </w:rPr>
        <w:t>。</w:t>
      </w:r>
    </w:p>
    <w:p w14:paraId="0C17A7DC">
      <w:pPr>
        <w:adjustRightInd w:val="0"/>
        <w:spacing w:line="360" w:lineRule="auto"/>
        <w:rPr>
          <w:szCs w:val="21"/>
        </w:rPr>
      </w:pPr>
      <w:r>
        <w:rPr>
          <w:rFonts w:hint="eastAsia"/>
          <w:szCs w:val="21"/>
        </w:rPr>
        <w:t>三、合同期满，甲方有选择重新招标或继续与乙方签订合同的权利，双方如需继续合作的，应通过签订书面续延本合同的补充协议或另行签订合同。</w:t>
      </w:r>
    </w:p>
    <w:p w14:paraId="6D1805EC">
      <w:pPr>
        <w:adjustRightInd w:val="0"/>
        <w:spacing w:line="360" w:lineRule="auto"/>
        <w:rPr>
          <w:rFonts w:hint="eastAsia"/>
          <w:szCs w:val="21"/>
        </w:rPr>
      </w:pPr>
      <w:r>
        <w:rPr>
          <w:rFonts w:hint="eastAsia"/>
          <w:szCs w:val="21"/>
        </w:rPr>
        <w:t>四、履约保证金：</w:t>
      </w:r>
    </w:p>
    <w:p w14:paraId="665E5D90">
      <w:pPr>
        <w:adjustRightInd w:val="0"/>
        <w:spacing w:line="360" w:lineRule="auto"/>
        <w:rPr>
          <w:rFonts w:hint="eastAsia"/>
          <w:szCs w:val="21"/>
        </w:rPr>
      </w:pPr>
      <w:r>
        <w:rPr>
          <w:rFonts w:hint="eastAsia"/>
          <w:szCs w:val="21"/>
        </w:rPr>
        <w:t>1、担保金额</w:t>
      </w:r>
    </w:p>
    <w:p w14:paraId="106D31EB">
      <w:pPr>
        <w:adjustRightInd w:val="0"/>
        <w:spacing w:line="360" w:lineRule="auto"/>
        <w:rPr>
          <w:rFonts w:hint="eastAsia"/>
          <w:szCs w:val="21"/>
        </w:rPr>
      </w:pPr>
      <w:r>
        <w:rPr>
          <w:rFonts w:hint="eastAsia"/>
          <w:szCs w:val="21"/>
        </w:rPr>
        <w:t>乙方应于本合同签订之日前 ，向甲方支付履约保证金，按合同总金额的</w:t>
      </w:r>
      <w:r>
        <w:rPr>
          <w:rFonts w:hint="eastAsia"/>
          <w:szCs w:val="21"/>
          <w:lang w:val="en-US" w:eastAsia="zh-CN"/>
        </w:rPr>
        <w:t>2</w:t>
      </w:r>
      <w:r>
        <w:rPr>
          <w:rFonts w:hint="eastAsia"/>
          <w:szCs w:val="21"/>
        </w:rPr>
        <w:t>%进行缴纳，如乙方存在违约行为、违法行为的，甲方有权优先从履约保证金中直接扣除；履约保证金不足以扣除的，或者乙方未按时足额支付履约保证金的，甲方有权从应支付给乙方的服务费中扣除；乙方拒绝支付的，甲方有权将乙方列入公司合作的“黑名单”，且保留采取进一步措施维护自身权益。</w:t>
      </w:r>
    </w:p>
    <w:p w14:paraId="0086AEFC">
      <w:pPr>
        <w:adjustRightInd w:val="0"/>
        <w:spacing w:line="360" w:lineRule="auto"/>
        <w:rPr>
          <w:rFonts w:hint="eastAsia"/>
          <w:szCs w:val="21"/>
        </w:rPr>
      </w:pPr>
      <w:r>
        <w:rPr>
          <w:rFonts w:hint="eastAsia"/>
          <w:szCs w:val="21"/>
        </w:rPr>
        <w:t>2、担保期限</w:t>
      </w:r>
    </w:p>
    <w:p w14:paraId="44F8F169">
      <w:pPr>
        <w:adjustRightInd w:val="0"/>
        <w:spacing w:line="360" w:lineRule="auto"/>
        <w:rPr>
          <w:rFonts w:hint="eastAsia"/>
          <w:szCs w:val="21"/>
        </w:rPr>
      </w:pPr>
      <w:r>
        <w:rPr>
          <w:rFonts w:hint="eastAsia"/>
          <w:szCs w:val="21"/>
        </w:rPr>
        <w:t>本担保的有效期应自本合同生效之日起，至本合同约定的服务期限届满及乙方完成所有义务（包括设备、场地移交）后【60】个工作日止，最迟不超过   年   月   日。。</w:t>
      </w:r>
    </w:p>
    <w:p w14:paraId="735EC02F">
      <w:pPr>
        <w:adjustRightInd w:val="0"/>
        <w:spacing w:line="360" w:lineRule="auto"/>
        <w:rPr>
          <w:rFonts w:hint="eastAsia"/>
          <w:szCs w:val="21"/>
        </w:rPr>
      </w:pPr>
      <w:r>
        <w:rPr>
          <w:rFonts w:hint="eastAsia"/>
          <w:szCs w:val="21"/>
        </w:rPr>
        <w:t>3、担保责任与索赔条件</w:t>
      </w:r>
    </w:p>
    <w:p w14:paraId="339F4587">
      <w:pPr>
        <w:adjustRightInd w:val="0"/>
        <w:spacing w:line="360" w:lineRule="auto"/>
        <w:rPr>
          <w:rFonts w:hint="eastAsia"/>
          <w:szCs w:val="21"/>
        </w:rPr>
      </w:pPr>
      <w:r>
        <w:rPr>
          <w:rFonts w:hint="eastAsia"/>
          <w:szCs w:val="21"/>
        </w:rPr>
        <w:t>在担保有效期内，若乙方发生以下任一情形，构成违约，甲方有权依据本条规定扣除保证金或向银行索赔：</w:t>
      </w:r>
    </w:p>
    <w:p w14:paraId="1C6D15BC">
      <w:pPr>
        <w:adjustRightInd w:val="0"/>
        <w:spacing w:line="360" w:lineRule="auto"/>
        <w:rPr>
          <w:rFonts w:hint="eastAsia"/>
          <w:szCs w:val="21"/>
        </w:rPr>
      </w:pPr>
      <w:r>
        <w:rPr>
          <w:rFonts w:hint="eastAsia"/>
          <w:szCs w:val="21"/>
        </w:rPr>
        <w:t>(1) 服务质量违约：乙方的服务内容、频次或质量不符合合同约定标准，在甲方发出书面整改通知书后【7】日内仍未纠正或整改无效的。扣款金额每次500元-2000元。</w:t>
      </w:r>
    </w:p>
    <w:p w14:paraId="66DF4400">
      <w:pPr>
        <w:adjustRightInd w:val="0"/>
        <w:spacing w:line="360" w:lineRule="auto"/>
        <w:rPr>
          <w:rFonts w:hint="eastAsia"/>
          <w:szCs w:val="21"/>
        </w:rPr>
      </w:pPr>
      <w:r>
        <w:rPr>
          <w:rFonts w:hint="eastAsia"/>
          <w:szCs w:val="21"/>
        </w:rPr>
        <w:t>(2) 造成损失：因乙方员工过失，导致甲方财产、甲方员工或第三方人身或财产遭受损失，且乙方未能及时赔偿的。扣款金额每次500元-2000元。</w:t>
      </w:r>
    </w:p>
    <w:p w14:paraId="13E90BC5">
      <w:pPr>
        <w:adjustRightInd w:val="0"/>
        <w:spacing w:line="360" w:lineRule="auto"/>
        <w:rPr>
          <w:rFonts w:hint="eastAsia"/>
          <w:szCs w:val="21"/>
        </w:rPr>
      </w:pPr>
      <w:r>
        <w:rPr>
          <w:rFonts w:hint="eastAsia"/>
          <w:szCs w:val="21"/>
        </w:rPr>
        <w:t>(3) 单方解约：乙方无正当理由单方面中止或解除本合同的。扣除履约保证金的全部金额。</w:t>
      </w:r>
    </w:p>
    <w:p w14:paraId="6B86FDA5">
      <w:pPr>
        <w:adjustRightInd w:val="0"/>
        <w:spacing w:line="360" w:lineRule="auto"/>
        <w:rPr>
          <w:rFonts w:hint="eastAsia"/>
          <w:szCs w:val="21"/>
        </w:rPr>
      </w:pPr>
      <w:r>
        <w:rPr>
          <w:rFonts w:hint="eastAsia"/>
          <w:szCs w:val="21"/>
        </w:rPr>
        <w:t>(4) 违反专项约定：违反合同中的【如保密、安全生产】等专项条款，给甲方造成损害的。扣款金额每次500元-2000元。</w:t>
      </w:r>
    </w:p>
    <w:p w14:paraId="11B2C8AD">
      <w:pPr>
        <w:adjustRightInd w:val="0"/>
        <w:spacing w:line="360" w:lineRule="auto"/>
        <w:rPr>
          <w:rFonts w:hint="eastAsia"/>
          <w:szCs w:val="21"/>
        </w:rPr>
      </w:pPr>
      <w:r>
        <w:rPr>
          <w:rFonts w:hint="eastAsia"/>
          <w:szCs w:val="21"/>
        </w:rPr>
        <w:t>4、担保的补足与返还</w:t>
      </w:r>
    </w:p>
    <w:p w14:paraId="16AAE43E">
      <w:pPr>
        <w:adjustRightInd w:val="0"/>
        <w:spacing w:line="360" w:lineRule="auto"/>
        <w:rPr>
          <w:rFonts w:hint="eastAsia"/>
          <w:szCs w:val="21"/>
        </w:rPr>
      </w:pPr>
      <w:r>
        <w:rPr>
          <w:rFonts w:hint="eastAsia"/>
          <w:szCs w:val="21"/>
        </w:rPr>
        <w:t>(1) 无论因何种原因，一旦甲方根据本合同约定扣减了履约保证金或通过保函获得了赔付，乙方应在该等事件发生后【15】日内，向甲方提供新的担保以使担保总额恢复至本条第一款约定的金额。</w:t>
      </w:r>
    </w:p>
    <w:p w14:paraId="5AC71309">
      <w:pPr>
        <w:adjustRightInd w:val="0"/>
        <w:spacing w:line="360" w:lineRule="auto"/>
        <w:rPr>
          <w:szCs w:val="21"/>
        </w:rPr>
      </w:pPr>
      <w:r>
        <w:rPr>
          <w:rFonts w:hint="eastAsia"/>
          <w:szCs w:val="21"/>
        </w:rPr>
        <w:t>(2) 在本合同正常终止且乙方无任何未了结的违约责任后，甲方应在【30】个工作日内向乙方办结履约担保的退还/注销手续。</w:t>
      </w:r>
    </w:p>
    <w:p w14:paraId="57EB081B">
      <w:pPr>
        <w:adjustRightInd w:val="0"/>
        <w:spacing w:line="360" w:lineRule="auto"/>
        <w:rPr>
          <w:rFonts w:hint="eastAsia"/>
          <w:szCs w:val="21"/>
        </w:rPr>
      </w:pPr>
      <w:r>
        <w:rPr>
          <w:rFonts w:hint="eastAsia"/>
          <w:szCs w:val="21"/>
        </w:rPr>
        <w:t>第五条 合同金额及付款方式</w:t>
      </w:r>
    </w:p>
    <w:tbl>
      <w:tblPr>
        <w:tblStyle w:val="58"/>
        <w:tblW w:w="956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1290"/>
        <w:gridCol w:w="2482"/>
        <w:gridCol w:w="2485"/>
      </w:tblGrid>
      <w:tr w14:paraId="192E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305" w:type="dxa"/>
            <w:noWrap w:val="0"/>
            <w:vAlign w:val="center"/>
          </w:tcPr>
          <w:p w14:paraId="65406524">
            <w:pPr>
              <w:adjustRightInd w:val="0"/>
              <w:spacing w:line="360" w:lineRule="auto"/>
              <w:jc w:val="center"/>
              <w:rPr>
                <w:szCs w:val="21"/>
              </w:rPr>
            </w:pPr>
            <w:r>
              <w:rPr>
                <w:rFonts w:hint="eastAsia"/>
                <w:szCs w:val="21"/>
              </w:rPr>
              <w:t>岗位</w:t>
            </w:r>
          </w:p>
        </w:tc>
        <w:tc>
          <w:tcPr>
            <w:tcW w:w="1290" w:type="dxa"/>
            <w:noWrap w:val="0"/>
            <w:vAlign w:val="center"/>
          </w:tcPr>
          <w:p w14:paraId="7CF32BB3">
            <w:pPr>
              <w:adjustRightInd w:val="0"/>
              <w:spacing w:line="360" w:lineRule="auto"/>
              <w:jc w:val="center"/>
              <w:rPr>
                <w:szCs w:val="21"/>
              </w:rPr>
            </w:pPr>
            <w:r>
              <w:rPr>
                <w:rFonts w:hint="eastAsia"/>
                <w:szCs w:val="21"/>
              </w:rPr>
              <w:t>单价</w:t>
            </w:r>
          </w:p>
        </w:tc>
        <w:tc>
          <w:tcPr>
            <w:tcW w:w="2482" w:type="dxa"/>
            <w:noWrap w:val="0"/>
            <w:vAlign w:val="center"/>
          </w:tcPr>
          <w:p w14:paraId="031DEE61">
            <w:pPr>
              <w:adjustRightInd w:val="0"/>
              <w:spacing w:line="360" w:lineRule="auto"/>
              <w:jc w:val="center"/>
              <w:rPr>
                <w:szCs w:val="21"/>
              </w:rPr>
            </w:pPr>
            <w:r>
              <w:rPr>
                <w:rFonts w:hint="eastAsia"/>
                <w:szCs w:val="21"/>
              </w:rPr>
              <w:t>人数</w:t>
            </w:r>
          </w:p>
        </w:tc>
        <w:tc>
          <w:tcPr>
            <w:tcW w:w="2485" w:type="dxa"/>
            <w:noWrap w:val="0"/>
            <w:vAlign w:val="center"/>
          </w:tcPr>
          <w:p w14:paraId="734D1444">
            <w:pPr>
              <w:adjustRightInd w:val="0"/>
              <w:spacing w:line="360" w:lineRule="auto"/>
              <w:jc w:val="center"/>
              <w:rPr>
                <w:szCs w:val="21"/>
              </w:rPr>
            </w:pPr>
            <w:r>
              <w:rPr>
                <w:rFonts w:hint="eastAsia"/>
                <w:szCs w:val="21"/>
              </w:rPr>
              <w:t>月度费用</w:t>
            </w:r>
          </w:p>
        </w:tc>
      </w:tr>
      <w:tr w14:paraId="1213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305" w:type="dxa"/>
            <w:noWrap w:val="0"/>
            <w:vAlign w:val="center"/>
          </w:tcPr>
          <w:p w14:paraId="086179DA">
            <w:pPr>
              <w:adjustRightInd w:val="0"/>
              <w:spacing w:line="360" w:lineRule="auto"/>
              <w:jc w:val="center"/>
              <w:rPr>
                <w:szCs w:val="21"/>
              </w:rPr>
            </w:pPr>
            <w:r>
              <w:rPr>
                <w:rFonts w:hint="eastAsia"/>
                <w:szCs w:val="21"/>
              </w:rPr>
              <w:t>秩序岗（英诺双创）</w:t>
            </w:r>
          </w:p>
        </w:tc>
        <w:tc>
          <w:tcPr>
            <w:tcW w:w="1290" w:type="dxa"/>
            <w:noWrap w:val="0"/>
            <w:vAlign w:val="center"/>
          </w:tcPr>
          <w:p w14:paraId="7696875D">
            <w:pPr>
              <w:adjustRightInd w:val="0"/>
              <w:spacing w:line="360" w:lineRule="auto"/>
              <w:jc w:val="center"/>
              <w:rPr>
                <w:rFonts w:eastAsia="宋体"/>
                <w:szCs w:val="21"/>
              </w:rPr>
            </w:pPr>
          </w:p>
        </w:tc>
        <w:tc>
          <w:tcPr>
            <w:tcW w:w="2482" w:type="dxa"/>
            <w:noWrap w:val="0"/>
            <w:vAlign w:val="center"/>
          </w:tcPr>
          <w:p w14:paraId="549149C7">
            <w:pPr>
              <w:adjustRightInd w:val="0"/>
              <w:spacing w:line="360" w:lineRule="auto"/>
              <w:jc w:val="center"/>
              <w:rPr>
                <w:szCs w:val="21"/>
              </w:rPr>
            </w:pPr>
            <w:r>
              <w:rPr>
                <w:rFonts w:hint="eastAsia"/>
                <w:szCs w:val="21"/>
              </w:rPr>
              <w:t>9</w:t>
            </w:r>
          </w:p>
        </w:tc>
        <w:tc>
          <w:tcPr>
            <w:tcW w:w="2485" w:type="dxa"/>
            <w:noWrap w:val="0"/>
            <w:vAlign w:val="center"/>
          </w:tcPr>
          <w:p w14:paraId="3633D72C">
            <w:pPr>
              <w:adjustRightInd w:val="0"/>
              <w:spacing w:line="360" w:lineRule="auto"/>
              <w:jc w:val="center"/>
              <w:rPr>
                <w:szCs w:val="21"/>
              </w:rPr>
            </w:pPr>
          </w:p>
        </w:tc>
      </w:tr>
      <w:tr w14:paraId="5370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305" w:type="dxa"/>
            <w:noWrap w:val="0"/>
            <w:vAlign w:val="center"/>
          </w:tcPr>
          <w:p w14:paraId="41E4D1AF">
            <w:pPr>
              <w:adjustRightInd w:val="0"/>
              <w:spacing w:line="240" w:lineRule="exact"/>
              <w:jc w:val="center"/>
              <w:rPr>
                <w:rFonts w:hint="eastAsia"/>
                <w:szCs w:val="21"/>
              </w:rPr>
            </w:pPr>
            <w:r>
              <w:rPr>
                <w:rFonts w:hint="eastAsia"/>
                <w:szCs w:val="21"/>
              </w:rPr>
              <w:t>秩序岗</w:t>
            </w:r>
          </w:p>
          <w:p w14:paraId="0563D692">
            <w:pPr>
              <w:adjustRightInd w:val="0"/>
              <w:spacing w:line="240" w:lineRule="exact"/>
              <w:jc w:val="center"/>
              <w:rPr>
                <w:rFonts w:hint="eastAsia"/>
                <w:szCs w:val="21"/>
              </w:rPr>
            </w:pPr>
            <w:r>
              <w:rPr>
                <w:rFonts w:hint="eastAsia"/>
                <w:szCs w:val="21"/>
              </w:rPr>
              <w:t>（九龙坡区民政局婚姻登记处）</w:t>
            </w:r>
          </w:p>
        </w:tc>
        <w:tc>
          <w:tcPr>
            <w:tcW w:w="1290" w:type="dxa"/>
            <w:noWrap w:val="0"/>
            <w:vAlign w:val="center"/>
          </w:tcPr>
          <w:p w14:paraId="0C704445">
            <w:pPr>
              <w:adjustRightInd w:val="0"/>
              <w:spacing w:line="360" w:lineRule="auto"/>
              <w:jc w:val="center"/>
              <w:rPr>
                <w:rFonts w:eastAsia="宋体"/>
                <w:szCs w:val="21"/>
              </w:rPr>
            </w:pPr>
          </w:p>
        </w:tc>
        <w:tc>
          <w:tcPr>
            <w:tcW w:w="2482" w:type="dxa"/>
            <w:noWrap w:val="0"/>
            <w:vAlign w:val="center"/>
          </w:tcPr>
          <w:p w14:paraId="31AED387">
            <w:pPr>
              <w:adjustRightInd w:val="0"/>
              <w:spacing w:line="360" w:lineRule="auto"/>
              <w:jc w:val="center"/>
              <w:rPr>
                <w:szCs w:val="21"/>
              </w:rPr>
            </w:pPr>
            <w:r>
              <w:rPr>
                <w:rFonts w:hint="eastAsia"/>
                <w:szCs w:val="21"/>
              </w:rPr>
              <w:t>1</w:t>
            </w:r>
          </w:p>
        </w:tc>
        <w:tc>
          <w:tcPr>
            <w:tcW w:w="2485" w:type="dxa"/>
            <w:noWrap w:val="0"/>
            <w:vAlign w:val="center"/>
          </w:tcPr>
          <w:p w14:paraId="26BD2A9C">
            <w:pPr>
              <w:adjustRightInd w:val="0"/>
              <w:spacing w:line="360" w:lineRule="auto"/>
              <w:jc w:val="center"/>
              <w:rPr>
                <w:szCs w:val="21"/>
              </w:rPr>
            </w:pPr>
          </w:p>
        </w:tc>
      </w:tr>
      <w:tr w14:paraId="680D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9562" w:type="dxa"/>
            <w:gridSpan w:val="4"/>
            <w:noWrap w:val="0"/>
            <w:vAlign w:val="top"/>
          </w:tcPr>
          <w:p w14:paraId="67590724">
            <w:pPr>
              <w:adjustRightInd w:val="0"/>
              <w:spacing w:line="360" w:lineRule="auto"/>
              <w:rPr>
                <w:rFonts w:hint="default" w:eastAsia="方正仿宋_GBK"/>
                <w:szCs w:val="21"/>
                <w:lang w:val="en-US" w:eastAsia="zh-CN"/>
              </w:rPr>
            </w:pPr>
            <w:r>
              <w:rPr>
                <w:rFonts w:hint="eastAsia"/>
                <w:szCs w:val="21"/>
              </w:rPr>
              <w:t>月度合计：</w:t>
            </w:r>
            <w:r>
              <w:rPr>
                <w:rFonts w:hint="eastAsia"/>
                <w:szCs w:val="21"/>
                <w:u w:val="single"/>
              </w:rPr>
              <w:t xml:space="preserve">           </w:t>
            </w:r>
            <w:r>
              <w:rPr>
                <w:rFonts w:hint="eastAsia"/>
                <w:szCs w:val="21"/>
              </w:rPr>
              <w:t>元</w:t>
            </w:r>
            <w:r>
              <w:rPr>
                <w:rFonts w:hint="eastAsia"/>
                <w:szCs w:val="21"/>
                <w:lang w:val="en-US" w:eastAsia="zh-CN"/>
              </w:rPr>
              <w:t>/月</w:t>
            </w:r>
          </w:p>
          <w:p w14:paraId="426FD252">
            <w:pPr>
              <w:adjustRightInd w:val="0"/>
              <w:spacing w:line="360" w:lineRule="auto"/>
              <w:rPr>
                <w:rFonts w:hint="default" w:eastAsia="方正仿宋_GBK"/>
                <w:szCs w:val="21"/>
                <w:lang w:val="en-US" w:eastAsia="zh-CN"/>
              </w:rPr>
            </w:pPr>
            <w:r>
              <w:rPr>
                <w:rFonts w:hint="eastAsia"/>
                <w:szCs w:val="21"/>
              </w:rPr>
              <w:t>合同总费用：</w:t>
            </w:r>
            <w:r>
              <w:rPr>
                <w:rFonts w:hint="eastAsia"/>
                <w:szCs w:val="21"/>
                <w:u w:val="single"/>
              </w:rPr>
              <w:t xml:space="preserve">        </w:t>
            </w:r>
            <w:r>
              <w:rPr>
                <w:rFonts w:hint="eastAsia"/>
                <w:szCs w:val="21"/>
              </w:rPr>
              <w:t>元</w:t>
            </w:r>
            <w:r>
              <w:rPr>
                <w:rFonts w:hint="eastAsia"/>
                <w:szCs w:val="21"/>
                <w:lang w:val="en-US" w:eastAsia="zh-CN"/>
              </w:rPr>
              <w:t>/年</w:t>
            </w:r>
          </w:p>
        </w:tc>
      </w:tr>
    </w:tbl>
    <w:p w14:paraId="64635B19">
      <w:pPr>
        <w:adjustRightInd w:val="0"/>
        <w:spacing w:line="360" w:lineRule="auto"/>
        <w:rPr>
          <w:szCs w:val="21"/>
        </w:rPr>
      </w:pPr>
      <w:r>
        <w:rPr>
          <w:rFonts w:hint="eastAsia"/>
          <w:szCs w:val="21"/>
        </w:rPr>
        <w:t>一、本合同含税总价为</w:t>
      </w:r>
      <w:r>
        <w:rPr>
          <w:rFonts w:hint="eastAsia"/>
          <w:szCs w:val="21"/>
          <w:u w:val="single"/>
        </w:rPr>
        <w:t xml:space="preserve">     </w:t>
      </w:r>
      <w:r>
        <w:rPr>
          <w:rFonts w:hint="eastAsia"/>
          <w:szCs w:val="21"/>
        </w:rPr>
        <w:t>元</w:t>
      </w:r>
      <w:r>
        <w:rPr>
          <w:rFonts w:hint="eastAsia"/>
          <w:szCs w:val="21"/>
          <w:lang w:val="en-US" w:eastAsia="zh-CN"/>
        </w:rPr>
        <w:t>/年</w:t>
      </w:r>
      <w:r>
        <w:rPr>
          <w:rFonts w:hint="eastAsia"/>
          <w:szCs w:val="21"/>
        </w:rPr>
        <w:t>（大写：</w:t>
      </w:r>
      <w:r>
        <w:rPr>
          <w:rFonts w:hint="eastAsia"/>
          <w:szCs w:val="21"/>
          <w:u w:val="single"/>
        </w:rPr>
        <w:t xml:space="preserve">    </w:t>
      </w:r>
      <w:r>
        <w:rPr>
          <w:rFonts w:hint="eastAsia"/>
          <w:szCs w:val="21"/>
        </w:rPr>
        <w:t>），含税月包干费用为</w:t>
      </w:r>
      <w:r>
        <w:rPr>
          <w:rFonts w:hint="eastAsia"/>
          <w:szCs w:val="21"/>
          <w:u w:val="single"/>
        </w:rPr>
        <w:t xml:space="preserve">     </w:t>
      </w:r>
      <w:r>
        <w:rPr>
          <w:rFonts w:hint="eastAsia"/>
          <w:szCs w:val="21"/>
        </w:rPr>
        <w:t>元</w:t>
      </w:r>
      <w:r>
        <w:rPr>
          <w:rFonts w:hint="eastAsia"/>
          <w:szCs w:val="21"/>
          <w:lang w:val="en-US" w:eastAsia="zh-CN"/>
        </w:rPr>
        <w:t>/月</w:t>
      </w:r>
      <w:r>
        <w:rPr>
          <w:rFonts w:hint="eastAsia"/>
          <w:szCs w:val="21"/>
        </w:rPr>
        <w:t>（大写：</w:t>
      </w:r>
      <w:r>
        <w:rPr>
          <w:rFonts w:hint="eastAsia"/>
          <w:szCs w:val="21"/>
          <w:u w:val="single"/>
        </w:rPr>
        <w:t xml:space="preserve">     </w:t>
      </w:r>
      <w:r>
        <w:rPr>
          <w:rFonts w:hint="eastAsia"/>
          <w:szCs w:val="21"/>
        </w:rPr>
        <w:t>），提供    %增值税专用发票，甲方有权扣除税差后付款。（如遇国家政策调整，则按照最新的增值税税率调整增值税金,并相应调整含税总价）。该含税总价包括完成本合同约定义务所需一切费用、利润、税金等，除本合同另有明确约定外，甲方不再支付乙方任何费用。(实际结算金额以甲方月度考核结果为准)</w:t>
      </w:r>
    </w:p>
    <w:p w14:paraId="57041C8E">
      <w:pPr>
        <w:adjustRightInd w:val="0"/>
        <w:spacing w:line="360" w:lineRule="auto"/>
        <w:rPr>
          <w:szCs w:val="21"/>
        </w:rPr>
      </w:pPr>
      <w:r>
        <w:rPr>
          <w:rFonts w:hint="eastAsia"/>
          <w:szCs w:val="21"/>
        </w:rPr>
        <w:t>二、不足一月的按项目当月实际工作人员天数计算（日人均单价×项目配置人数×工作天数）。</w:t>
      </w:r>
    </w:p>
    <w:p w14:paraId="6F3A2222">
      <w:pPr>
        <w:adjustRightInd w:val="0"/>
        <w:spacing w:line="360" w:lineRule="auto"/>
        <w:rPr>
          <w:szCs w:val="21"/>
        </w:rPr>
      </w:pPr>
      <w:r>
        <w:rPr>
          <w:rFonts w:hint="eastAsia"/>
          <w:szCs w:val="21"/>
        </w:rPr>
        <w:t>三、服务费用采用“按</w:t>
      </w:r>
      <w:r>
        <w:rPr>
          <w:rFonts w:hint="eastAsia"/>
          <w:szCs w:val="21"/>
          <w:lang w:val="en-US" w:eastAsia="zh-CN"/>
        </w:rPr>
        <w:t>月</w:t>
      </w:r>
      <w:r>
        <w:rPr>
          <w:rFonts w:hint="eastAsia"/>
          <w:szCs w:val="21"/>
        </w:rPr>
        <w:t>度结算”据实结算的方式，计算方式为应付的服务费用减去应扣款后即为当月应付费用。</w:t>
      </w:r>
    </w:p>
    <w:p w14:paraId="5111C6F1">
      <w:pPr>
        <w:adjustRightInd w:val="0"/>
        <w:spacing w:line="360" w:lineRule="auto"/>
        <w:rPr>
          <w:szCs w:val="21"/>
        </w:rPr>
      </w:pPr>
      <w:r>
        <w:rPr>
          <w:rFonts w:hint="eastAsia"/>
          <w:szCs w:val="21"/>
        </w:rPr>
        <w:t>四、每月</w:t>
      </w:r>
      <w:r>
        <w:rPr>
          <w:rFonts w:hint="eastAsia"/>
          <w:szCs w:val="21"/>
          <w:u w:val="single"/>
        </w:rPr>
        <w:t xml:space="preserve">  5  </w:t>
      </w:r>
      <w:r>
        <w:rPr>
          <w:rFonts w:hint="eastAsia"/>
          <w:szCs w:val="21"/>
        </w:rPr>
        <w:t>日前甲乙双方核算上月服务费用并对明细签字确认，乙方每月</w:t>
      </w:r>
      <w:r>
        <w:rPr>
          <w:rFonts w:hint="eastAsia"/>
          <w:szCs w:val="21"/>
          <w:u w:val="single"/>
        </w:rPr>
        <w:t xml:space="preserve">   10  </w:t>
      </w:r>
      <w:r>
        <w:rPr>
          <w:rFonts w:hint="eastAsia"/>
          <w:szCs w:val="21"/>
        </w:rPr>
        <w:t>日前将正式有效全额增值税发票提供给甲方，甲方收到发票后于</w:t>
      </w:r>
      <w:r>
        <w:rPr>
          <w:rFonts w:hint="eastAsia"/>
          <w:szCs w:val="21"/>
          <w:u w:val="single"/>
        </w:rPr>
        <w:t xml:space="preserve">   20   </w:t>
      </w:r>
      <w:r>
        <w:rPr>
          <w:rFonts w:hint="eastAsia"/>
          <w:szCs w:val="21"/>
        </w:rPr>
        <w:t>日内将上月服务费用汇款至乙方指定账户。</w:t>
      </w:r>
    </w:p>
    <w:p w14:paraId="1FAA881C">
      <w:pPr>
        <w:adjustRightInd w:val="0"/>
        <w:spacing w:line="360" w:lineRule="auto"/>
        <w:rPr>
          <w:szCs w:val="21"/>
        </w:rPr>
      </w:pPr>
      <w:r>
        <w:rPr>
          <w:rFonts w:hint="eastAsia"/>
          <w:szCs w:val="21"/>
        </w:rPr>
        <w:t>乙方指定账户如下：</w:t>
      </w:r>
    </w:p>
    <w:p w14:paraId="3FD55981">
      <w:pPr>
        <w:adjustRightInd w:val="0"/>
        <w:spacing w:line="360" w:lineRule="auto"/>
        <w:rPr>
          <w:szCs w:val="21"/>
        </w:rPr>
      </w:pPr>
      <w:r>
        <w:rPr>
          <w:rFonts w:hint="eastAsia"/>
          <w:szCs w:val="21"/>
        </w:rPr>
        <w:t>户名：</w:t>
      </w:r>
      <w:r>
        <w:rPr>
          <w:rFonts w:hint="eastAsia"/>
          <w:szCs w:val="21"/>
          <w:u w:val="single"/>
        </w:rPr>
        <w:t xml:space="preserve">                    </w:t>
      </w:r>
      <w:r>
        <w:rPr>
          <w:rFonts w:hint="eastAsia"/>
          <w:szCs w:val="21"/>
        </w:rPr>
        <w:t xml:space="preserve">          </w:t>
      </w:r>
    </w:p>
    <w:p w14:paraId="740E531B">
      <w:pPr>
        <w:adjustRightInd w:val="0"/>
        <w:spacing w:line="360" w:lineRule="auto"/>
        <w:rPr>
          <w:szCs w:val="21"/>
        </w:rPr>
      </w:pPr>
      <w:r>
        <w:rPr>
          <w:rFonts w:hint="eastAsia"/>
          <w:szCs w:val="21"/>
        </w:rPr>
        <w:t>开户行：</w:t>
      </w:r>
      <w:r>
        <w:rPr>
          <w:rFonts w:hint="eastAsia"/>
          <w:szCs w:val="21"/>
          <w:u w:val="single"/>
        </w:rPr>
        <w:t xml:space="preserve">                  </w:t>
      </w:r>
      <w:r>
        <w:rPr>
          <w:rFonts w:hint="eastAsia"/>
          <w:szCs w:val="21"/>
        </w:rPr>
        <w:t xml:space="preserve">          </w:t>
      </w:r>
    </w:p>
    <w:p w14:paraId="18F3B46E">
      <w:pPr>
        <w:adjustRightInd w:val="0"/>
        <w:spacing w:line="360" w:lineRule="auto"/>
        <w:rPr>
          <w:szCs w:val="21"/>
        </w:rPr>
      </w:pPr>
      <w:r>
        <w:rPr>
          <w:rFonts w:hint="eastAsia"/>
          <w:szCs w:val="21"/>
        </w:rPr>
        <w:t>账号：</w:t>
      </w:r>
      <w:r>
        <w:rPr>
          <w:rFonts w:hint="eastAsia"/>
          <w:szCs w:val="21"/>
          <w:u w:val="single"/>
        </w:rPr>
        <w:t xml:space="preserve">                    </w:t>
      </w:r>
      <w:r>
        <w:rPr>
          <w:rFonts w:hint="eastAsia"/>
          <w:szCs w:val="21"/>
        </w:rPr>
        <w:t xml:space="preserve">          </w:t>
      </w:r>
    </w:p>
    <w:p w14:paraId="11097DBC">
      <w:pPr>
        <w:adjustRightInd w:val="0"/>
        <w:spacing w:line="360" w:lineRule="auto"/>
        <w:rPr>
          <w:szCs w:val="21"/>
        </w:rPr>
      </w:pPr>
      <w:r>
        <w:rPr>
          <w:rFonts w:hint="eastAsia"/>
          <w:szCs w:val="21"/>
        </w:rPr>
        <w:t>五、如需变更付款方式或乙方账户等信息，乙方应于首笔款项支付日15日前征得甲方书面同意，并在该时限前以书面形式告知甲方，且乙方告知的开户名必须与乙方名称一致，账号必须为人民币</w:t>
      </w:r>
      <w:r>
        <w:rPr>
          <w:szCs w:val="21"/>
        </w:rPr>
        <w:t>结算账户</w:t>
      </w:r>
      <w:r>
        <w:rPr>
          <w:rFonts w:hint="eastAsia"/>
          <w:szCs w:val="21"/>
        </w:rPr>
        <w:t>，无论甲方是否同意变更信息，因乙方变更本款约定的付款方式相关风险由乙方承担；乙方确保告知的收款账号、开户行、开户名等内容真实无误并符合约定要求，因乙方未及时告知或告知的内容有误或者告知的内容不符合约定要求的，甲方有权不接受乙方的变更要求并有权暂停付款，由此造成的责任及损失由乙方承担，甲方对此不承担任何责任。如乙方告知的收款账号、开户名不符合约定要求的，甲方有权拒绝办理款项支付事宜且不承担违约责任。</w:t>
      </w:r>
    </w:p>
    <w:p w14:paraId="49D17B42">
      <w:pPr>
        <w:adjustRightInd w:val="0"/>
        <w:spacing w:line="360" w:lineRule="auto"/>
        <w:rPr>
          <w:rFonts w:hint="eastAsia"/>
          <w:szCs w:val="21"/>
        </w:rPr>
      </w:pPr>
      <w:r>
        <w:rPr>
          <w:rFonts w:hint="eastAsia"/>
          <w:szCs w:val="21"/>
        </w:rPr>
        <w:t>办理结算及款项支付的地点为甲方公司财务室或甲方指定地点，乙方应自行到甲方公司财务室或甲方指定地点办理结算及款项支付事宜，否则由此造成延期付款等责任，均由乙方自行承担，甲方不承担责任。</w:t>
      </w:r>
    </w:p>
    <w:p w14:paraId="3E6C1CF1">
      <w:pPr>
        <w:adjustRightInd w:val="0"/>
        <w:spacing w:line="360" w:lineRule="auto"/>
        <w:rPr>
          <w:szCs w:val="21"/>
        </w:rPr>
      </w:pPr>
      <w:r>
        <w:rPr>
          <w:rFonts w:hint="eastAsia"/>
          <w:szCs w:val="21"/>
        </w:rPr>
        <w:t xml:space="preserve">六、发票约定： </w:t>
      </w:r>
    </w:p>
    <w:p w14:paraId="35828F4B">
      <w:pPr>
        <w:adjustRightInd w:val="0"/>
        <w:spacing w:line="360" w:lineRule="auto"/>
        <w:rPr>
          <w:szCs w:val="21"/>
        </w:rPr>
      </w:pPr>
      <w:r>
        <w:rPr>
          <w:rFonts w:hint="eastAsia"/>
          <w:szCs w:val="21"/>
        </w:rPr>
        <w:t>甲方每次付款十日前，乙方应向甲方或甲方指定的公司提供下述第</w:t>
      </w:r>
      <w:r>
        <w:rPr>
          <w:rFonts w:hint="eastAsia"/>
          <w:szCs w:val="21"/>
          <w:u w:val="single"/>
        </w:rPr>
        <w:t xml:space="preserve"> 1 </w:t>
      </w:r>
      <w:r>
        <w:rPr>
          <w:rFonts w:hint="eastAsia"/>
          <w:szCs w:val="21"/>
        </w:rPr>
        <w:t>种发票，否则甲方有权相应延迟支付合同价款且不承担逾期付款的责任，直至乙方提供符合约定的发票：</w:t>
      </w:r>
    </w:p>
    <w:p w14:paraId="61A14559">
      <w:pPr>
        <w:adjustRightInd w:val="0"/>
        <w:spacing w:line="360" w:lineRule="auto"/>
        <w:rPr>
          <w:szCs w:val="21"/>
        </w:rPr>
      </w:pPr>
      <w:r>
        <w:rPr>
          <w:rFonts w:hint="eastAsia"/>
          <w:szCs w:val="21"/>
        </w:rPr>
        <w:t>1、增值税率为    %_（13%、9%、6%、5%、3%、2%、1.5%）的增值税专用发票【如遇国家政策调整，则按照本业务对应的最新税率确定，因乙方原因（包括但不限于延期开票等）导致增值税金增加的，增加部分由乙方自行承担】；</w:t>
      </w:r>
    </w:p>
    <w:p w14:paraId="1C2A71D6">
      <w:pPr>
        <w:adjustRightInd w:val="0"/>
        <w:spacing w:line="360" w:lineRule="auto"/>
        <w:rPr>
          <w:szCs w:val="21"/>
        </w:rPr>
      </w:pPr>
      <w:r>
        <w:rPr>
          <w:rFonts w:hint="eastAsia"/>
          <w:szCs w:val="21"/>
        </w:rPr>
        <w:t>2、增值税普通发票；</w:t>
      </w:r>
    </w:p>
    <w:p w14:paraId="3DF2F8B1">
      <w:pPr>
        <w:adjustRightInd w:val="0"/>
        <w:spacing w:line="360" w:lineRule="auto"/>
        <w:rPr>
          <w:szCs w:val="21"/>
        </w:rPr>
      </w:pPr>
      <w:r>
        <w:rPr>
          <w:rFonts w:hint="eastAsia"/>
          <w:szCs w:val="21"/>
        </w:rPr>
        <w:t>在甲方支付至合同含税价款的</w:t>
      </w:r>
      <w:r>
        <w:rPr>
          <w:rFonts w:hint="eastAsia"/>
          <w:szCs w:val="21"/>
          <w:u w:val="single"/>
        </w:rPr>
        <w:t xml:space="preserve">  /  </w:t>
      </w:r>
      <w:r>
        <w:rPr>
          <w:rFonts w:hint="eastAsia"/>
          <w:szCs w:val="21"/>
        </w:rPr>
        <w:t>%以前，乙方应将合同含税价款（包括但不限于进度款、结算款、质保金等）全额发票提供给甲方。</w:t>
      </w:r>
    </w:p>
    <w:p w14:paraId="054246A6">
      <w:pPr>
        <w:adjustRightInd w:val="0"/>
        <w:spacing w:line="360" w:lineRule="auto"/>
        <w:rPr>
          <w:szCs w:val="21"/>
        </w:rPr>
      </w:pPr>
      <w:r>
        <w:rPr>
          <w:rFonts w:hint="eastAsia"/>
          <w:szCs w:val="21"/>
        </w:rPr>
        <w:t>乙方在开具增值税发票后应及时交付甲方经办人员，如因乙方原因或乙方交由第三方邮递后发生发票丢失、破损或逾期等，导致甲方无法收到增值税发票相应联次或逾期无法抵扣的，由乙方全额承担甲方相关经济损失。</w:t>
      </w:r>
    </w:p>
    <w:p w14:paraId="4DBE4337">
      <w:pPr>
        <w:adjustRightInd w:val="0"/>
        <w:spacing w:line="360" w:lineRule="auto"/>
        <w:rPr>
          <w:szCs w:val="21"/>
        </w:rPr>
      </w:pPr>
      <w:r>
        <w:rPr>
          <w:rFonts w:hint="eastAsia"/>
          <w:szCs w:val="21"/>
        </w:rPr>
        <w:t>甲方有权在支付合同含税价款时按规定代扣代缴乙方应承担的相关税费，如甲方未代扣代缴的，乙方应自行向相关税务机关缴纳，否则由此造成的责任及损失(包括甲方未代扣代缴被税务机关处罚的损失)由乙方承担。</w:t>
      </w:r>
    </w:p>
    <w:p w14:paraId="30683A69">
      <w:pPr>
        <w:adjustRightInd w:val="0"/>
        <w:spacing w:line="360" w:lineRule="auto"/>
        <w:rPr>
          <w:szCs w:val="21"/>
        </w:rPr>
      </w:pPr>
      <w:r>
        <w:rPr>
          <w:rFonts w:hint="eastAsia"/>
          <w:szCs w:val="21"/>
        </w:rPr>
        <w:t>乙方保证其提供的发票真实、足额、合法、有效且满足合同约定及甲方要求，否则甲方有权延迟、拒绝乙方相应付款要求，且乙方须承担如下责任：</w:t>
      </w:r>
    </w:p>
    <w:p w14:paraId="16853ABB">
      <w:pPr>
        <w:adjustRightInd w:val="0"/>
        <w:spacing w:line="360" w:lineRule="auto"/>
        <w:rPr>
          <w:szCs w:val="21"/>
        </w:rPr>
      </w:pPr>
      <w:r>
        <w:rPr>
          <w:rFonts w:hint="eastAsia"/>
          <w:szCs w:val="21"/>
        </w:rPr>
        <w:t>乙方应在甲方通知的时间内更换真实、合法、有效并满足合同约定的发票，逾期更换的，每天按发票金额万分之五计算支付违约金；若乙方提供虚假、违法、无效的发票，每发现一次，由乙方按该发票金额10%且每次不低于4000元（工程总包合同不低于20000元）向甲方支付违约金，给甲方造成损失的，乙方还应赔偿由此产生的一切损失（包括税务机关认定该发票虚假不同意甲方进入成本费用或发票的增值税税率不满足合同约定，致使甲方多支付的税费、滞纳金及罚款等）。前述违约金及损失，甲方可以直接在应付乙方的合同价款中扣除且无需通知乙方，不足扣除的，乙方应在甲方通知后7日补足，逾期补足由乙方按每日万分之五计算支付违约金。</w:t>
      </w:r>
    </w:p>
    <w:p w14:paraId="5AE2EB51">
      <w:pPr>
        <w:adjustRightInd w:val="0"/>
        <w:spacing w:line="360" w:lineRule="auto"/>
        <w:rPr>
          <w:szCs w:val="21"/>
        </w:rPr>
      </w:pPr>
      <w:r>
        <w:rPr>
          <w:rFonts w:hint="eastAsia"/>
          <w:szCs w:val="21"/>
        </w:rPr>
        <w:t>第七条  甲方的权利与义务</w:t>
      </w:r>
    </w:p>
    <w:p w14:paraId="60FEDBA3">
      <w:pPr>
        <w:adjustRightInd w:val="0"/>
        <w:spacing w:line="360" w:lineRule="auto"/>
        <w:rPr>
          <w:szCs w:val="21"/>
        </w:rPr>
      </w:pPr>
      <w:r>
        <w:rPr>
          <w:rFonts w:hint="eastAsia"/>
          <w:szCs w:val="21"/>
        </w:rPr>
        <w:t>一、甲方有权审查乙方制定的工作计划、培训计划、员工关爱计划及其他安保管理方案并提出修改意见。</w:t>
      </w:r>
    </w:p>
    <w:p w14:paraId="001E6173">
      <w:pPr>
        <w:adjustRightInd w:val="0"/>
        <w:spacing w:line="360" w:lineRule="auto"/>
        <w:rPr>
          <w:szCs w:val="21"/>
        </w:rPr>
      </w:pPr>
      <w:r>
        <w:rPr>
          <w:rFonts w:hint="eastAsia"/>
          <w:szCs w:val="21"/>
        </w:rPr>
        <w:t>二、甲方有权要求及教育乙方的员工自觉维护本项目的安全管理及秩序维护工作，对破坏项目之行为给予及时制止与纠正。</w:t>
      </w:r>
    </w:p>
    <w:p w14:paraId="4648D820">
      <w:pPr>
        <w:adjustRightInd w:val="0"/>
        <w:spacing w:line="360" w:lineRule="auto"/>
        <w:rPr>
          <w:szCs w:val="21"/>
        </w:rPr>
      </w:pPr>
      <w:r>
        <w:rPr>
          <w:rFonts w:hint="eastAsia"/>
          <w:szCs w:val="21"/>
        </w:rPr>
        <w:t>三、甲方有权监督乙方工作执行情况和服务质量，通知并指出乙方人员在服务中的所有缺点和违纪行为，以便乙方即时采取必要措施。对乙方提出的合理工作协助、要求及建议，应予以支持配合。</w:t>
      </w:r>
    </w:p>
    <w:p w14:paraId="5A813F7B">
      <w:pPr>
        <w:adjustRightInd w:val="0"/>
        <w:spacing w:line="360" w:lineRule="auto"/>
        <w:rPr>
          <w:szCs w:val="21"/>
        </w:rPr>
      </w:pPr>
      <w:r>
        <w:rPr>
          <w:rFonts w:hint="eastAsia"/>
          <w:szCs w:val="21"/>
        </w:rPr>
        <w:t>四、若乙方配置的秩序维护员数量不符合合同约定，甲方有权要求乙方按合同约定人数和标准补齐人员，并根据缺员的人数及天数按照本合同约定的费用及考核标准核算后，在支付服务费时予以扣除。</w:t>
      </w:r>
    </w:p>
    <w:p w14:paraId="6333B7C8">
      <w:pPr>
        <w:adjustRightInd w:val="0"/>
        <w:spacing w:line="360" w:lineRule="auto"/>
        <w:rPr>
          <w:szCs w:val="21"/>
        </w:rPr>
      </w:pPr>
      <w:r>
        <w:rPr>
          <w:rFonts w:hint="eastAsia"/>
          <w:szCs w:val="21"/>
        </w:rPr>
        <w:t>五、甲方有权根据项目实际情况增减岗位，并据此调整人员编制；如甲方在本合同履行期内决定长期增加或减少秩序人员数量，应当提前【 5 】个工作日以书面形式通知乙方。服务费的增加、减少应当根据本合同约定的费用的标准进行计算。</w:t>
      </w:r>
    </w:p>
    <w:p w14:paraId="75C9F7AE">
      <w:pPr>
        <w:adjustRightInd w:val="0"/>
        <w:spacing w:line="360" w:lineRule="auto"/>
        <w:rPr>
          <w:szCs w:val="21"/>
        </w:rPr>
      </w:pPr>
      <w:r>
        <w:rPr>
          <w:rFonts w:hint="eastAsia"/>
          <w:szCs w:val="21"/>
        </w:rPr>
        <w:t>六、乙方派驻服务人员有下列情形之一的，甲方有权提出更换人员等要求，乙方无条件给予支持以适合服务要求。</w:t>
      </w:r>
    </w:p>
    <w:p w14:paraId="11854F49">
      <w:pPr>
        <w:adjustRightInd w:val="0"/>
        <w:spacing w:line="360" w:lineRule="auto"/>
        <w:rPr>
          <w:szCs w:val="21"/>
        </w:rPr>
      </w:pPr>
      <w:r>
        <w:rPr>
          <w:rFonts w:hint="eastAsia"/>
          <w:szCs w:val="21"/>
        </w:rPr>
        <w:t xml:space="preserve">1、有偷窃、恶意破坏公共设备设施等违法行为；   </w:t>
      </w:r>
    </w:p>
    <w:p w14:paraId="6649F017">
      <w:pPr>
        <w:adjustRightInd w:val="0"/>
        <w:spacing w:line="360" w:lineRule="auto"/>
        <w:rPr>
          <w:szCs w:val="21"/>
        </w:rPr>
      </w:pPr>
      <w:r>
        <w:rPr>
          <w:rFonts w:hint="eastAsia"/>
          <w:szCs w:val="21"/>
        </w:rPr>
        <w:t>2、与业主发生争吵或达到3次有效投诉；</w:t>
      </w:r>
    </w:p>
    <w:p w14:paraId="75937019">
      <w:pPr>
        <w:adjustRightInd w:val="0"/>
        <w:spacing w:line="360" w:lineRule="auto"/>
        <w:rPr>
          <w:szCs w:val="21"/>
        </w:rPr>
      </w:pPr>
      <w:r>
        <w:rPr>
          <w:rFonts w:hint="eastAsia"/>
          <w:szCs w:val="21"/>
        </w:rPr>
        <w:t>3、在服务区域内发生酗酒闹事、打架斗殴行为；</w:t>
      </w:r>
    </w:p>
    <w:p w14:paraId="07CFE9B7">
      <w:pPr>
        <w:adjustRightInd w:val="0"/>
        <w:spacing w:line="360" w:lineRule="auto"/>
        <w:rPr>
          <w:szCs w:val="21"/>
        </w:rPr>
      </w:pPr>
      <w:r>
        <w:rPr>
          <w:rFonts w:hint="eastAsia"/>
          <w:szCs w:val="21"/>
        </w:rPr>
        <w:t>4、经过调岗、培训仍未能达到岗位要求工作标准；</w:t>
      </w:r>
    </w:p>
    <w:p w14:paraId="35D4DBB2">
      <w:pPr>
        <w:adjustRightInd w:val="0"/>
        <w:spacing w:line="360" w:lineRule="auto"/>
        <w:rPr>
          <w:szCs w:val="21"/>
        </w:rPr>
      </w:pPr>
      <w:r>
        <w:rPr>
          <w:rFonts w:hint="eastAsia"/>
          <w:szCs w:val="21"/>
        </w:rPr>
        <w:t>5、其他影响甲方公司形象的行为。</w:t>
      </w:r>
    </w:p>
    <w:p w14:paraId="4ABB2FA3">
      <w:pPr>
        <w:adjustRightInd w:val="0"/>
        <w:spacing w:line="360" w:lineRule="auto"/>
        <w:rPr>
          <w:szCs w:val="21"/>
        </w:rPr>
      </w:pPr>
      <w:r>
        <w:rPr>
          <w:rFonts w:hint="eastAsia"/>
          <w:szCs w:val="21"/>
        </w:rPr>
        <w:t>6、甲方有权制定相应监督机制、考核标准等，以保证乙方按照合同及附件约定内容严格履行。</w:t>
      </w:r>
    </w:p>
    <w:p w14:paraId="394541B6">
      <w:pPr>
        <w:adjustRightInd w:val="0"/>
        <w:spacing w:line="360" w:lineRule="auto"/>
        <w:rPr>
          <w:szCs w:val="21"/>
        </w:rPr>
      </w:pPr>
      <w:r>
        <w:rPr>
          <w:rFonts w:hint="eastAsia"/>
          <w:szCs w:val="21"/>
        </w:rPr>
        <w:t>7、甲方有权对乙方派驻现场员工个人行为及服务质量进行监督管理，并按照本合同及合同附件内容对乙方进行考核，对不符合标准项，按照附件四“考核标准”的扣款标准进行扣款。</w:t>
      </w:r>
    </w:p>
    <w:p w14:paraId="04BA1CA2">
      <w:pPr>
        <w:adjustRightInd w:val="0"/>
        <w:spacing w:line="360" w:lineRule="auto"/>
        <w:rPr>
          <w:szCs w:val="21"/>
        </w:rPr>
      </w:pPr>
      <w:r>
        <w:rPr>
          <w:rFonts w:hint="eastAsia"/>
          <w:szCs w:val="21"/>
        </w:rPr>
        <w:t>8、乙方未派驻专职现场负责人时，甲方有权对乙方派驻员工按照甲方管理体系实施日常管理及按照附件四“考核标准”实施考核，并直接从支付的服务费中扣除。</w:t>
      </w:r>
    </w:p>
    <w:p w14:paraId="4833F0EA">
      <w:pPr>
        <w:adjustRightInd w:val="0"/>
        <w:spacing w:line="360" w:lineRule="auto"/>
        <w:rPr>
          <w:szCs w:val="21"/>
        </w:rPr>
      </w:pPr>
      <w:r>
        <w:rPr>
          <w:rFonts w:hint="eastAsia"/>
          <w:szCs w:val="21"/>
        </w:rPr>
        <w:t>9、甲方应通知乙方驻场负责人参加甲方主持的工作例会，以便乙方驻场人员领会项目工作任务、工作重点和遵守甲方的规章制度及服务规范要求与甲方形成团队的服务体。</w:t>
      </w:r>
    </w:p>
    <w:p w14:paraId="4A2EB05B">
      <w:pPr>
        <w:adjustRightInd w:val="0"/>
        <w:spacing w:line="360" w:lineRule="auto"/>
        <w:rPr>
          <w:szCs w:val="21"/>
        </w:rPr>
      </w:pPr>
      <w:r>
        <w:rPr>
          <w:rFonts w:hint="eastAsia"/>
          <w:szCs w:val="21"/>
        </w:rPr>
        <w:t>10、甲方有权对乙方驻场负责人及派驻员工进行人力资源评估，包括但不限于专业理论考试、技能实操考试、专业答辩、离职率考核、员工素质考评等，评估结果影响下一合同周期业务分配量。</w:t>
      </w:r>
    </w:p>
    <w:p w14:paraId="486B3517">
      <w:pPr>
        <w:adjustRightInd w:val="0"/>
        <w:spacing w:line="360" w:lineRule="auto"/>
        <w:rPr>
          <w:szCs w:val="21"/>
        </w:rPr>
      </w:pPr>
      <w:r>
        <w:rPr>
          <w:rFonts w:hint="eastAsia"/>
          <w:szCs w:val="21"/>
        </w:rPr>
        <w:t>11、遇重大活动、节假日及其他临时工作安排，甲方须提前将工作重点及活动内容等告知乙方提请配合。</w:t>
      </w:r>
    </w:p>
    <w:p w14:paraId="2C1EDE56">
      <w:pPr>
        <w:adjustRightInd w:val="0"/>
        <w:spacing w:line="360" w:lineRule="auto"/>
        <w:rPr>
          <w:szCs w:val="21"/>
        </w:rPr>
      </w:pPr>
      <w:r>
        <w:rPr>
          <w:rFonts w:hint="eastAsia"/>
          <w:szCs w:val="21"/>
        </w:rPr>
        <w:t>12、甲方需指定专人负责与乙方协调、处理相关事宜，并协助乙方对项目秩序维护管理工作进行培训、指导、宣传、教育。</w:t>
      </w:r>
    </w:p>
    <w:p w14:paraId="7F10A5AC">
      <w:pPr>
        <w:adjustRightInd w:val="0"/>
        <w:spacing w:line="360" w:lineRule="auto"/>
        <w:rPr>
          <w:szCs w:val="21"/>
        </w:rPr>
      </w:pPr>
      <w:r>
        <w:rPr>
          <w:rFonts w:hint="eastAsia"/>
          <w:szCs w:val="21"/>
        </w:rPr>
        <w:t>13、甲方负责为乙方提供各岗位日常使用质量记录表册。</w:t>
      </w:r>
    </w:p>
    <w:p w14:paraId="30208D47">
      <w:pPr>
        <w:adjustRightInd w:val="0"/>
        <w:spacing w:line="360" w:lineRule="auto"/>
        <w:rPr>
          <w:szCs w:val="21"/>
        </w:rPr>
      </w:pPr>
      <w:r>
        <w:rPr>
          <w:rFonts w:hint="eastAsia"/>
          <w:szCs w:val="21"/>
        </w:rPr>
        <w:t>14、甲方按本合同约定向乙方支付核算后的服务费，因未按照约定支付费用产生的责任由甲方承担。</w:t>
      </w:r>
    </w:p>
    <w:p w14:paraId="4384A5B9">
      <w:pPr>
        <w:adjustRightInd w:val="0"/>
        <w:spacing w:line="360" w:lineRule="auto"/>
        <w:rPr>
          <w:szCs w:val="21"/>
        </w:rPr>
      </w:pPr>
      <w:r>
        <w:rPr>
          <w:rFonts w:hint="eastAsia"/>
          <w:szCs w:val="21"/>
        </w:rPr>
        <w:t>15、本合同约定的甲方其他权利和义务。</w:t>
      </w:r>
    </w:p>
    <w:p w14:paraId="741CAD12">
      <w:pPr>
        <w:adjustRightInd w:val="0"/>
        <w:spacing w:line="360" w:lineRule="auto"/>
        <w:rPr>
          <w:szCs w:val="21"/>
        </w:rPr>
      </w:pPr>
      <w:r>
        <w:rPr>
          <w:rFonts w:hint="eastAsia"/>
          <w:szCs w:val="21"/>
        </w:rPr>
        <w:t>16、甲方有权按照本合同的相关约定、附件的标准及附件四“考核标准”等管理制度要求的标准考核乙方服务质量，并根据考核情况对乙方的服务进行奖惩，奖惩结果直接体现在甲方当期应支付的服务费中。甲方无需向乙方支付服务费的，考核结果可以直接在保证金中扣除。</w:t>
      </w:r>
    </w:p>
    <w:p w14:paraId="444D93F8">
      <w:pPr>
        <w:adjustRightInd w:val="0"/>
        <w:spacing w:line="360" w:lineRule="auto"/>
        <w:rPr>
          <w:szCs w:val="21"/>
        </w:rPr>
      </w:pPr>
      <w:r>
        <w:rPr>
          <w:rFonts w:hint="eastAsia"/>
          <w:szCs w:val="21"/>
        </w:rPr>
        <w:t>第七条  乙方的权利与义务</w:t>
      </w:r>
    </w:p>
    <w:p w14:paraId="4598B513">
      <w:pPr>
        <w:adjustRightInd w:val="0"/>
        <w:spacing w:line="360" w:lineRule="auto"/>
        <w:rPr>
          <w:szCs w:val="21"/>
        </w:rPr>
      </w:pPr>
      <w:r>
        <w:rPr>
          <w:rFonts w:hint="eastAsia"/>
          <w:szCs w:val="21"/>
        </w:rPr>
        <w:t>一、在服务场所以内，按合同约定的岗位和工作标准提供24小时秩序维护服务（包含安防和消防）。</w:t>
      </w:r>
    </w:p>
    <w:p w14:paraId="6053C8BD">
      <w:pPr>
        <w:adjustRightInd w:val="0"/>
        <w:spacing w:line="360" w:lineRule="auto"/>
        <w:rPr>
          <w:szCs w:val="21"/>
        </w:rPr>
      </w:pPr>
      <w:r>
        <w:rPr>
          <w:rFonts w:hint="eastAsia"/>
          <w:szCs w:val="21"/>
        </w:rPr>
        <w:t>二、在服务项目内，由于政府相关职能部门检查被要求整改或处罚，由乙方自行负责处理，损失也由乙方全部承担，并保证甲方公司品牌不受影响。</w:t>
      </w:r>
    </w:p>
    <w:p w14:paraId="58B2A998">
      <w:pPr>
        <w:adjustRightInd w:val="0"/>
        <w:spacing w:line="360" w:lineRule="auto"/>
        <w:rPr>
          <w:szCs w:val="21"/>
        </w:rPr>
      </w:pPr>
      <w:r>
        <w:rPr>
          <w:rFonts w:hint="eastAsia"/>
          <w:szCs w:val="21"/>
        </w:rPr>
        <w:t>三、基于专业技能并根据甲方要求，乙方应对甲方提供妥善的安全管理全面建议。乙方在服务过程中出现的问题应主动及时和甲方沟通，并提出改善方案。</w:t>
      </w:r>
    </w:p>
    <w:p w14:paraId="5DCAF129">
      <w:pPr>
        <w:adjustRightInd w:val="0"/>
        <w:spacing w:line="360" w:lineRule="auto"/>
        <w:rPr>
          <w:szCs w:val="21"/>
        </w:rPr>
      </w:pPr>
      <w:r>
        <w:rPr>
          <w:rFonts w:hint="eastAsia"/>
          <w:szCs w:val="21"/>
        </w:rPr>
        <w:t>四、乙方须指派专人</w:t>
      </w:r>
      <w:r>
        <w:rPr>
          <w:rFonts w:hint="eastAsia"/>
          <w:szCs w:val="21"/>
          <w:lang w:eastAsia="zh-CN"/>
        </w:rPr>
        <w:t>（安全综合主管）</w:t>
      </w:r>
      <w:r>
        <w:rPr>
          <w:rFonts w:hint="eastAsia"/>
          <w:szCs w:val="21"/>
        </w:rPr>
        <w:t>负责各项安全管理工作，并常驻秩序维护服务场所。乙方派驻甲方的管理人员，每月的工作绩效由甲方进行考核。</w:t>
      </w:r>
    </w:p>
    <w:p w14:paraId="3318DD81">
      <w:pPr>
        <w:adjustRightInd w:val="0"/>
        <w:spacing w:line="360" w:lineRule="auto"/>
        <w:rPr>
          <w:szCs w:val="21"/>
        </w:rPr>
      </w:pPr>
      <w:r>
        <w:rPr>
          <w:rFonts w:hint="eastAsia"/>
          <w:szCs w:val="21"/>
        </w:rPr>
        <w:t>五、乙方派驻至项目现场的所有工作人员，</w:t>
      </w:r>
      <w:r>
        <w:rPr>
          <w:szCs w:val="21"/>
        </w:rPr>
        <w:t>乙方应与</w:t>
      </w:r>
      <w:r>
        <w:rPr>
          <w:rFonts w:hint="eastAsia"/>
          <w:szCs w:val="21"/>
        </w:rPr>
        <w:t>其</w:t>
      </w:r>
      <w:r>
        <w:rPr>
          <w:szCs w:val="21"/>
        </w:rPr>
        <w:t>依法签订劳动合同，</w:t>
      </w:r>
      <w:r>
        <w:rPr>
          <w:rFonts w:hint="eastAsia"/>
          <w:szCs w:val="21"/>
        </w:rPr>
        <w:t>需具备从业资质（持有合法保安员证，消控室人员持有中级及以上建（构）筑物消防员职业资格证）并符合甲方人员素质标准，由甲方进行面试及身份审核后方可派驻至甲方现场，其人事资料须送交一份给甲方备核，乙方须确保所有员工信息资料的真实及合法性。甲方对乙方派驻人员信息资料可随时进行真实性抽查，如查出使用虚假信息进行登记，甲方可追究乙方的责任，并可立即解除本合同。</w:t>
      </w:r>
    </w:p>
    <w:p w14:paraId="05F23836">
      <w:pPr>
        <w:adjustRightInd w:val="0"/>
        <w:spacing w:line="360" w:lineRule="auto"/>
        <w:rPr>
          <w:szCs w:val="21"/>
        </w:rPr>
      </w:pPr>
      <w:r>
        <w:rPr>
          <w:rFonts w:hint="eastAsia"/>
          <w:szCs w:val="21"/>
        </w:rPr>
        <w:t>六、乙方派驻至项目现场的所有工作人员，须接受甲方管理人员的监督和指导，并接受检查和纠正。驻场秩序队伍的日常管理工作由乙方驻场负责人具体负责安排和管理。乙方未配备专职驻场管理负责人时，需无条件配合甲方按照甲方管理体系对派驻人员实施管理（含按本合同条款约定实施的奖惩考核），并承担管理结果。</w:t>
      </w:r>
    </w:p>
    <w:p w14:paraId="14992540">
      <w:pPr>
        <w:adjustRightInd w:val="0"/>
        <w:spacing w:line="360" w:lineRule="auto"/>
        <w:rPr>
          <w:szCs w:val="21"/>
        </w:rPr>
      </w:pPr>
      <w:r>
        <w:rPr>
          <w:rFonts w:hint="eastAsia"/>
          <w:szCs w:val="21"/>
        </w:rPr>
        <w:t>七、乙方派驻至项目现场的所有工作人员，应严格按照甲方的考勤管理制度执行，并接受甲方的不定时抽查。乙方所有驻场人员的人事招聘、人员调配、员工排班、考勤、请休假、奖惩，员工工作岗位的安排及调配，应及时告知甲方，并由甲方的项目经理、秩序队长（班长）签字确认。项目秩序维护的后勤保障等日常管理工作由乙方驻场负责人自行负责。</w:t>
      </w:r>
    </w:p>
    <w:p w14:paraId="20A0D41F">
      <w:pPr>
        <w:adjustRightInd w:val="0"/>
        <w:spacing w:line="360" w:lineRule="auto"/>
        <w:rPr>
          <w:szCs w:val="21"/>
        </w:rPr>
      </w:pPr>
      <w:r>
        <w:rPr>
          <w:rFonts w:hint="eastAsia"/>
          <w:szCs w:val="21"/>
        </w:rPr>
        <w:t>八、乙方对新入职人员要进行相关的入职培训。乙方应向秩序维护员进行安全规则、相关法律法规以及甲方各项管理规定的教育和岗前培训，合格后并提供相应考核合格证明文件方可派驻并严格管理秩序维护员，且须遵守合同约定的以及甲方的各项现场管理规定。</w:t>
      </w:r>
    </w:p>
    <w:p w14:paraId="0CC4C572">
      <w:pPr>
        <w:adjustRightInd w:val="0"/>
        <w:spacing w:line="360" w:lineRule="auto"/>
        <w:rPr>
          <w:szCs w:val="21"/>
        </w:rPr>
      </w:pPr>
      <w:r>
        <w:rPr>
          <w:rFonts w:hint="eastAsia"/>
          <w:szCs w:val="21"/>
        </w:rPr>
        <w:t>九、乙方须严格按照双方同意计划设立的秩序维护岗位配置人员，不得擅自减少每班的固定人数。如甲方根据项目实际情况增减岗位，调整人员编制时，乙方必须在接到甲方书面通知后一周内按要求调整完毕。</w:t>
      </w:r>
    </w:p>
    <w:p w14:paraId="4CCBFE06">
      <w:pPr>
        <w:adjustRightInd w:val="0"/>
        <w:spacing w:line="360" w:lineRule="auto"/>
        <w:rPr>
          <w:szCs w:val="21"/>
        </w:rPr>
      </w:pPr>
      <w:r>
        <w:rPr>
          <w:rFonts w:hint="eastAsia"/>
          <w:szCs w:val="21"/>
        </w:rPr>
        <w:t>十、甲方提出更换不合格的秩序维护员，乙方必须1天执行；甲方提出更换不合格班长，乙方必须在3天内调整完毕；甲方提出的更换秩序驻场负责人的要求，乙方必须在1周内调整完毕。乙方人员更换不得对甲方造成影响。</w:t>
      </w:r>
    </w:p>
    <w:p w14:paraId="04D753DA">
      <w:pPr>
        <w:adjustRightInd w:val="0"/>
        <w:spacing w:line="360" w:lineRule="auto"/>
        <w:rPr>
          <w:szCs w:val="21"/>
        </w:rPr>
      </w:pPr>
      <w:r>
        <w:rPr>
          <w:rFonts w:hint="eastAsia"/>
          <w:szCs w:val="21"/>
        </w:rPr>
        <w:t>十一、乙方应按时向其所派驻的秩序维护员支付薪资、奖金、福利等费用，按甲方指定款式标准向派驻秩序维护员提供服装及配饰，并按法律规定为所派驻的人员缴纳各类保险。</w:t>
      </w:r>
    </w:p>
    <w:p w14:paraId="6CFD59F7">
      <w:pPr>
        <w:adjustRightInd w:val="0"/>
        <w:spacing w:line="360" w:lineRule="auto"/>
        <w:rPr>
          <w:szCs w:val="21"/>
        </w:rPr>
      </w:pPr>
      <w:r>
        <w:rPr>
          <w:rFonts w:hint="eastAsia"/>
          <w:szCs w:val="21"/>
        </w:rPr>
        <w:t>十二、乙方应依照工作内容切实履行职责，并依实际工作情况，每日实时填写各类工作记录表单，甲方可随时抽查，如有虚伪不实的记录或拒绝甲方抽查的情况发生，甲方视其情况的严重程度进行罚款以致决定终止本合同。</w:t>
      </w:r>
    </w:p>
    <w:p w14:paraId="29DAD781">
      <w:pPr>
        <w:adjustRightInd w:val="0"/>
        <w:spacing w:line="360" w:lineRule="auto"/>
        <w:rPr>
          <w:szCs w:val="21"/>
        </w:rPr>
      </w:pPr>
      <w:r>
        <w:rPr>
          <w:rFonts w:hint="eastAsia"/>
          <w:szCs w:val="21"/>
        </w:rPr>
        <w:t>十三、乙方应按照甲方要求于每月10日前向甲方移交上月各项岗位工作记录、突发事件处置记录、监控录像查询记录、报警回执记录及突发事件发生期间的现场监控视频资料，且所移交资料须保证完整真实有效。</w:t>
      </w:r>
    </w:p>
    <w:p w14:paraId="1A1B3697">
      <w:pPr>
        <w:adjustRightInd w:val="0"/>
        <w:spacing w:line="360" w:lineRule="auto"/>
        <w:rPr>
          <w:szCs w:val="21"/>
        </w:rPr>
      </w:pPr>
      <w:r>
        <w:rPr>
          <w:rFonts w:hint="eastAsia"/>
          <w:szCs w:val="21"/>
        </w:rPr>
        <w:t>十四、乙方应于每周星期五向甲方指定对接人员上报下周排班表，每月25日以书面形式向甲方提供一份员工花名册（包括身份证复印件）和当月秩序维护工作执行与完成情况及下个月的工作计划。并接受甲方关于工作计划的合理建议、要求，经双方代表签字确认后由乙方实施。每季度乙方向甲方指定对接人员提供项目在职服务员工的无犯罪记录核查证明。</w:t>
      </w:r>
    </w:p>
    <w:p w14:paraId="50D2F2EF">
      <w:pPr>
        <w:adjustRightInd w:val="0"/>
        <w:spacing w:line="360" w:lineRule="auto"/>
        <w:rPr>
          <w:szCs w:val="21"/>
        </w:rPr>
      </w:pPr>
      <w:r>
        <w:rPr>
          <w:rFonts w:hint="eastAsia"/>
          <w:szCs w:val="21"/>
        </w:rPr>
        <w:t>十五、乙方驻场负责人和班长应随时巡查秩序岗位以符合甲方要求，并保持与甲方相关人员的联系，以便工作配合与协调。甲方每天不定时对秩序岗位进行循环检查，对不合格项按附件标准处罚。</w:t>
      </w:r>
    </w:p>
    <w:p w14:paraId="75970E17">
      <w:pPr>
        <w:adjustRightInd w:val="0"/>
        <w:spacing w:line="360" w:lineRule="auto"/>
        <w:rPr>
          <w:szCs w:val="21"/>
        </w:rPr>
      </w:pPr>
      <w:r>
        <w:rPr>
          <w:rFonts w:hint="eastAsia"/>
          <w:szCs w:val="21"/>
        </w:rPr>
        <w:t>十六、乙方应自行购买驻场人员社会保险及相关责任险，相关的保险费用由乙方承担。在秩序维护范围内乙方人员自己或造成甲方人员、第三方人员致伤、致残、致死时，所产生的一切责任均由乙方担当并做出处理，甲方给予配合。在秩序维护范围区域外发生的一切事故由乙方自行处理，甲方不承担任何责任。乙方未能解决处理，造成甲方被追责而支付款项的，乙方全额支付给甲方。乙方不向甲方支付该款项或者未能有效解决纠纷的，甲方有权随时解除本合同，并要求乙方赔偿全部损失。</w:t>
      </w:r>
    </w:p>
    <w:p w14:paraId="7D2E7DBE">
      <w:pPr>
        <w:adjustRightInd w:val="0"/>
        <w:spacing w:line="360" w:lineRule="auto"/>
        <w:rPr>
          <w:szCs w:val="21"/>
        </w:rPr>
      </w:pPr>
      <w:r>
        <w:rPr>
          <w:rFonts w:hint="eastAsia"/>
          <w:szCs w:val="21"/>
        </w:rPr>
        <w:t xml:space="preserve">十七、乙方保证在服务期内遵守甲乙双方确认的消防规则和流程，在秩序维护服务场所出现火情或火警的时候，按该消防规则和流程操作。 </w:t>
      </w:r>
    </w:p>
    <w:p w14:paraId="0D2CB186">
      <w:pPr>
        <w:adjustRightInd w:val="0"/>
        <w:spacing w:line="360" w:lineRule="auto"/>
        <w:rPr>
          <w:szCs w:val="21"/>
        </w:rPr>
      </w:pPr>
      <w:r>
        <w:rPr>
          <w:rFonts w:hint="eastAsia"/>
          <w:szCs w:val="21"/>
        </w:rPr>
        <w:t>十八、乙方负责人（公司高层及片区经理以上人员）每月不少于一次与甲方一起检查秩序维护服务场所的技术条件和安全设施、派驻人员现场服务质量并制作书面报告，明确已发现的安全隐患及瑕疵并约定消除上述安全隐患及瑕疵的具体期限，由甲乙双方的授权代表签字确认。</w:t>
      </w:r>
    </w:p>
    <w:p w14:paraId="495CE49B">
      <w:pPr>
        <w:adjustRightInd w:val="0"/>
        <w:spacing w:line="360" w:lineRule="auto"/>
        <w:rPr>
          <w:szCs w:val="21"/>
        </w:rPr>
      </w:pPr>
      <w:r>
        <w:rPr>
          <w:rFonts w:hint="eastAsia"/>
          <w:szCs w:val="21"/>
        </w:rPr>
        <w:t>十九、甲方提供的服务工具及现场的设施设备等，乙方应该保证完好性，如有破坏照价赔偿。乙方按合同约定配置的装备机具等应保持完好，如有损坏或遗失须及时修复或更换，以保证持续、正常投入使用。</w:t>
      </w:r>
    </w:p>
    <w:p w14:paraId="4AE6C281">
      <w:pPr>
        <w:adjustRightInd w:val="0"/>
        <w:spacing w:line="360" w:lineRule="auto"/>
        <w:rPr>
          <w:szCs w:val="21"/>
        </w:rPr>
      </w:pPr>
      <w:r>
        <w:rPr>
          <w:rFonts w:hint="eastAsia"/>
          <w:szCs w:val="21"/>
        </w:rPr>
        <w:t>二十、未经甲方书面同意，乙方不得将甲方提供的办公和值班场所、甲方财产挪作他用或外借等。如因乙方未正常或合理使用甲方财产，以及因乙方管理不当导致甲方财产损失或损坏的，乙方应进行赔偿。</w:t>
      </w:r>
    </w:p>
    <w:p w14:paraId="3F685D6D">
      <w:pPr>
        <w:adjustRightInd w:val="0"/>
        <w:spacing w:line="360" w:lineRule="auto"/>
        <w:rPr>
          <w:szCs w:val="21"/>
        </w:rPr>
      </w:pPr>
      <w:r>
        <w:rPr>
          <w:rFonts w:hint="eastAsia"/>
          <w:szCs w:val="21"/>
        </w:rPr>
        <w:t>二十一、乙方相关人员或其接洽的其他客户参观项目，应事先征得甲方的书面同意并规划参观路线及区域，不得以职权之便进入，如因此造成甲方任何损失的，甲方除有权要求乙方赔偿外，并可解除本合同。</w:t>
      </w:r>
    </w:p>
    <w:p w14:paraId="46C6589B">
      <w:pPr>
        <w:adjustRightInd w:val="0"/>
        <w:spacing w:line="360" w:lineRule="auto"/>
        <w:rPr>
          <w:szCs w:val="21"/>
        </w:rPr>
      </w:pPr>
      <w:r>
        <w:rPr>
          <w:rFonts w:hint="eastAsia"/>
          <w:szCs w:val="21"/>
        </w:rPr>
        <w:t>二十二、乙方有权更换为甲方提供服务的秩序维护员，乙方应当将人员变更的情况提前10个工作日通知甲方，经甲方认可后方可进行。</w:t>
      </w:r>
    </w:p>
    <w:p w14:paraId="49FD3A6D">
      <w:pPr>
        <w:adjustRightInd w:val="0"/>
        <w:spacing w:line="360" w:lineRule="auto"/>
        <w:rPr>
          <w:szCs w:val="21"/>
        </w:rPr>
      </w:pPr>
      <w:r>
        <w:rPr>
          <w:rFonts w:hint="eastAsia"/>
          <w:szCs w:val="21"/>
        </w:rPr>
        <w:t>二十三、若乙方员工离职需告知甲方，乙方应及时收回、交还甲方发放的劳保用品、工作服、工作证，若乙方员工未按流程办理离职手续，乙方需承担带来的一切后果。</w:t>
      </w:r>
    </w:p>
    <w:p w14:paraId="34CB3E65">
      <w:pPr>
        <w:adjustRightInd w:val="0"/>
        <w:spacing w:line="360" w:lineRule="auto"/>
        <w:rPr>
          <w:szCs w:val="21"/>
        </w:rPr>
      </w:pPr>
      <w:r>
        <w:rPr>
          <w:rFonts w:hint="eastAsia"/>
          <w:szCs w:val="21"/>
        </w:rPr>
        <w:t>二十四、未经甲方书面许可，乙方不得在小区内承接任何秩序维护等特约服务业务。</w:t>
      </w:r>
    </w:p>
    <w:p w14:paraId="198D72D1">
      <w:pPr>
        <w:adjustRightInd w:val="0"/>
        <w:spacing w:line="360" w:lineRule="auto"/>
        <w:rPr>
          <w:szCs w:val="21"/>
        </w:rPr>
      </w:pPr>
      <w:r>
        <w:rPr>
          <w:rFonts w:hint="eastAsia"/>
          <w:szCs w:val="21"/>
        </w:rPr>
        <w:t>二十五、乙方按照提供秩序维护服务的实际需要配置秩序维护物料、耗材、工具等并保证完好，按合同规定的秩序维护范围和工作要求，高质量完成各项工作，并严守有关安全作业规定，负责劳动安全管理和处理劳动安全事故及相关争议并独自承担相应责任。</w:t>
      </w:r>
    </w:p>
    <w:p w14:paraId="56B61C1F">
      <w:pPr>
        <w:adjustRightInd w:val="0"/>
        <w:spacing w:line="360" w:lineRule="auto"/>
        <w:rPr>
          <w:szCs w:val="21"/>
        </w:rPr>
      </w:pPr>
      <w:r>
        <w:rPr>
          <w:rFonts w:hint="eastAsia"/>
          <w:szCs w:val="21"/>
        </w:rPr>
        <w:t>二十六、乙方应及时解决处理甲方提出的工作质量要求，积极听取甲方对秩序工作的意见，认真配合并完成其它特殊工作事项。如遇台风、水浸、火灾等意外情况，有义务在甲方的统一指挥下参加抢险工作。</w:t>
      </w:r>
    </w:p>
    <w:p w14:paraId="57E93BD4">
      <w:pPr>
        <w:adjustRightInd w:val="0"/>
        <w:spacing w:line="360" w:lineRule="auto"/>
        <w:rPr>
          <w:szCs w:val="21"/>
        </w:rPr>
      </w:pPr>
      <w:r>
        <w:rPr>
          <w:rFonts w:hint="eastAsia"/>
          <w:szCs w:val="21"/>
        </w:rPr>
        <w:t>二十七、发生安全事故时，因乙方工作人员处置不当或乙方工作人员失职、不作为，所产生的损失由乙方全额承担赔偿；因而导致的甲方赔偿，甲方可向乙方索取赔偿。</w:t>
      </w:r>
    </w:p>
    <w:p w14:paraId="58FB191A">
      <w:pPr>
        <w:adjustRightInd w:val="0"/>
        <w:spacing w:line="360" w:lineRule="auto"/>
        <w:rPr>
          <w:szCs w:val="21"/>
        </w:rPr>
      </w:pPr>
      <w:r>
        <w:rPr>
          <w:rFonts w:hint="eastAsia"/>
          <w:szCs w:val="21"/>
        </w:rPr>
        <w:t>二十八、乙方承诺，绝不雇佣不符合国家及服务项目所在地的人员，包括未成年人、三无人员、患有任何传染性疾病人员等，如乙方违反规定雇佣非法劳工，则由此产生的一切责任由乙方承担，若甲方因此而受牵连，则乙方必须同时赔偿甲方的名誉及经济损失。</w:t>
      </w:r>
    </w:p>
    <w:p w14:paraId="6319EB40">
      <w:pPr>
        <w:adjustRightInd w:val="0"/>
        <w:spacing w:line="360" w:lineRule="auto"/>
        <w:rPr>
          <w:szCs w:val="21"/>
        </w:rPr>
      </w:pPr>
      <w:r>
        <w:rPr>
          <w:rFonts w:hint="eastAsia"/>
          <w:szCs w:val="21"/>
        </w:rPr>
        <w:t>二十九、在合同履约过程中，接受甲方依据附件四“考核标准”实施考核。</w:t>
      </w:r>
    </w:p>
    <w:p w14:paraId="23F1EEC4">
      <w:pPr>
        <w:adjustRightInd w:val="0"/>
        <w:spacing w:line="360" w:lineRule="auto"/>
        <w:rPr>
          <w:szCs w:val="21"/>
        </w:rPr>
      </w:pPr>
      <w:r>
        <w:rPr>
          <w:rFonts w:hint="eastAsia"/>
          <w:szCs w:val="21"/>
        </w:rPr>
        <w:t>三十、因乙方服务品质不佳导致甲方项目被挂牌处罚时，甲方有权终止合同，并要求乙方自挂牌公示日起30个自然日撤场。</w:t>
      </w:r>
    </w:p>
    <w:p w14:paraId="7B4913A9">
      <w:pPr>
        <w:adjustRightInd w:val="0"/>
        <w:spacing w:line="360" w:lineRule="auto"/>
        <w:rPr>
          <w:rFonts w:hint="eastAsia" w:eastAsia="方正仿宋_GBK"/>
          <w:szCs w:val="21"/>
          <w:lang w:val="en-US" w:eastAsia="zh-CN"/>
        </w:rPr>
      </w:pPr>
      <w:r>
        <w:rPr>
          <w:rFonts w:hint="eastAsia"/>
          <w:szCs w:val="21"/>
          <w:lang w:val="en-US" w:eastAsia="zh-CN"/>
        </w:rPr>
        <w:t>三十一、</w:t>
      </w:r>
      <w:r>
        <w:rPr>
          <w:rFonts w:hint="eastAsia"/>
          <w:szCs w:val="21"/>
        </w:rPr>
        <w:t>乙方不得拖欠员工工资，如果出现拖欠员工工资的情况，由甲方直接发工资给员工，并从乙方当期结算费用中扣除。</w:t>
      </w:r>
    </w:p>
    <w:p w14:paraId="63216CD3">
      <w:pPr>
        <w:adjustRightInd w:val="0"/>
        <w:spacing w:line="360" w:lineRule="auto"/>
        <w:rPr>
          <w:rFonts w:hint="default" w:eastAsia="方正仿宋_GBK"/>
          <w:szCs w:val="21"/>
          <w:lang w:val="en-US" w:eastAsia="zh-CN"/>
        </w:rPr>
      </w:pPr>
      <w:r>
        <w:rPr>
          <w:rFonts w:hint="eastAsia"/>
          <w:szCs w:val="21"/>
          <w:lang w:val="en-US" w:eastAsia="zh-CN"/>
        </w:rPr>
        <w:t>三十二、考勤管理</w:t>
      </w:r>
    </w:p>
    <w:p w14:paraId="32C082E9">
      <w:pPr>
        <w:adjustRightInd w:val="0"/>
        <w:spacing w:line="360" w:lineRule="auto"/>
        <w:rPr>
          <w:rFonts w:hint="eastAsia"/>
          <w:szCs w:val="21"/>
        </w:rPr>
      </w:pPr>
      <w:r>
        <w:rPr>
          <w:rFonts w:hint="eastAsia"/>
          <w:szCs w:val="21"/>
        </w:rPr>
        <w:t>承接项目必须接入考勤系统，首进项目进场后15个自然日必须接入考勤，相关费用由乙方承担，若乙方未按甲方要求配置，甲方有权在月度评估中进行考核扣款，考勤作为考勤结算唯一依据。</w:t>
      </w:r>
    </w:p>
    <w:p w14:paraId="208ED536">
      <w:pPr>
        <w:adjustRightInd w:val="0"/>
        <w:spacing w:line="360" w:lineRule="auto"/>
        <w:rPr>
          <w:szCs w:val="21"/>
        </w:rPr>
      </w:pPr>
      <w:r>
        <w:rPr>
          <w:rFonts w:hint="eastAsia"/>
          <w:szCs w:val="21"/>
        </w:rPr>
        <w:t>三十</w:t>
      </w:r>
      <w:r>
        <w:rPr>
          <w:rFonts w:hint="eastAsia"/>
          <w:szCs w:val="21"/>
          <w:lang w:val="en-US" w:eastAsia="zh-CN"/>
        </w:rPr>
        <w:t>三</w:t>
      </w:r>
      <w:r>
        <w:rPr>
          <w:rFonts w:hint="eastAsia"/>
          <w:szCs w:val="21"/>
        </w:rPr>
        <w:t>、本合同约定的乙方其他权利和义务。</w:t>
      </w:r>
    </w:p>
    <w:p w14:paraId="3E3AEEDE">
      <w:pPr>
        <w:adjustRightInd w:val="0"/>
        <w:spacing w:line="360" w:lineRule="auto"/>
        <w:rPr>
          <w:szCs w:val="21"/>
        </w:rPr>
      </w:pPr>
      <w:r>
        <w:rPr>
          <w:rFonts w:hint="eastAsia"/>
          <w:szCs w:val="21"/>
        </w:rPr>
        <w:t>第八条  服务试用期</w:t>
      </w:r>
    </w:p>
    <w:p w14:paraId="5540318C">
      <w:pPr>
        <w:adjustRightInd w:val="0"/>
        <w:spacing w:line="360" w:lineRule="auto"/>
        <w:rPr>
          <w:szCs w:val="21"/>
        </w:rPr>
      </w:pPr>
      <w:r>
        <w:rPr>
          <w:rFonts w:hint="eastAsia"/>
          <w:szCs w:val="21"/>
        </w:rPr>
        <w:t>一、乙方同意，合同有效期内的前【1】个月作为甲方对乙方的服务试用期。</w:t>
      </w:r>
    </w:p>
    <w:p w14:paraId="1681FBFA">
      <w:pPr>
        <w:adjustRightInd w:val="0"/>
        <w:spacing w:line="360" w:lineRule="auto"/>
        <w:rPr>
          <w:szCs w:val="21"/>
        </w:rPr>
      </w:pPr>
      <w:r>
        <w:rPr>
          <w:rFonts w:hint="eastAsia"/>
          <w:szCs w:val="21"/>
        </w:rPr>
        <w:t>二、服务试用期内，发生如下情况之一的，则甲方有权中止合同的履行直至乙方整改完毕，如乙方拒绝整改或者甲方认为乙方已不符合合作要求的，甲方有权解除本合同并要求乙方承担相应的违约责任，乙方给甲方造成经济损失的，乙方应另行赔偿：</w:t>
      </w:r>
    </w:p>
    <w:p w14:paraId="7AFDC5DD">
      <w:pPr>
        <w:adjustRightInd w:val="0"/>
        <w:spacing w:line="360" w:lineRule="auto"/>
        <w:rPr>
          <w:szCs w:val="21"/>
        </w:rPr>
      </w:pPr>
      <w:r>
        <w:rPr>
          <w:rFonts w:hint="eastAsia"/>
          <w:szCs w:val="21"/>
        </w:rPr>
        <w:t>1、乙方严重违反合同所规定的乙方责任，影响项目环境或导致甲方其他方面的严重损害。</w:t>
      </w:r>
    </w:p>
    <w:p w14:paraId="23713934">
      <w:pPr>
        <w:adjustRightInd w:val="0"/>
        <w:spacing w:line="360" w:lineRule="auto"/>
        <w:rPr>
          <w:szCs w:val="21"/>
        </w:rPr>
      </w:pPr>
      <w:r>
        <w:rPr>
          <w:rFonts w:hint="eastAsia"/>
          <w:szCs w:val="21"/>
        </w:rPr>
        <w:t>2、若乙方所承包的秩序安保服务在国家、市、区政府职能部门检查中不合法/合规，或因秩序安保服务问题给甲方造成经济或名誉损失的。</w:t>
      </w:r>
    </w:p>
    <w:p w14:paraId="0C8F684B">
      <w:pPr>
        <w:adjustRightInd w:val="0"/>
        <w:spacing w:line="360" w:lineRule="auto"/>
        <w:rPr>
          <w:szCs w:val="21"/>
        </w:rPr>
      </w:pPr>
      <w:r>
        <w:rPr>
          <w:rFonts w:hint="eastAsia"/>
          <w:szCs w:val="21"/>
        </w:rPr>
        <w:t>3、乙方实际到岗服务的人员数量低于本合同约定标准的【 95 】%。</w:t>
      </w:r>
    </w:p>
    <w:p w14:paraId="693C5469">
      <w:pPr>
        <w:adjustRightInd w:val="0"/>
        <w:spacing w:line="360" w:lineRule="auto"/>
        <w:rPr>
          <w:szCs w:val="21"/>
        </w:rPr>
      </w:pPr>
      <w:r>
        <w:rPr>
          <w:rFonts w:hint="eastAsia"/>
          <w:szCs w:val="21"/>
        </w:rPr>
        <w:t>4、其他：</w:t>
      </w:r>
      <w:r>
        <w:rPr>
          <w:rFonts w:hint="eastAsia"/>
          <w:szCs w:val="21"/>
          <w:u w:val="single"/>
        </w:rPr>
        <w:t xml:space="preserve">                /                   </w:t>
      </w:r>
      <w:r>
        <w:rPr>
          <w:rFonts w:hint="eastAsia"/>
          <w:szCs w:val="21"/>
        </w:rPr>
        <w:t>。</w:t>
      </w:r>
    </w:p>
    <w:p w14:paraId="3B6C5A25">
      <w:pPr>
        <w:adjustRightInd w:val="0"/>
        <w:spacing w:line="360" w:lineRule="auto"/>
        <w:rPr>
          <w:szCs w:val="21"/>
        </w:rPr>
      </w:pPr>
      <w:r>
        <w:rPr>
          <w:rFonts w:hint="eastAsia"/>
          <w:szCs w:val="21"/>
        </w:rPr>
        <w:t>第九条  违约责任</w:t>
      </w:r>
    </w:p>
    <w:p w14:paraId="6AE80BDC">
      <w:pPr>
        <w:adjustRightInd w:val="0"/>
        <w:spacing w:line="360" w:lineRule="auto"/>
        <w:rPr>
          <w:szCs w:val="21"/>
        </w:rPr>
      </w:pPr>
      <w:r>
        <w:rPr>
          <w:rFonts w:hint="eastAsia"/>
          <w:szCs w:val="21"/>
        </w:rPr>
        <w:t>一、合同期内，未经甲方同意，乙方不得单方终止合同。若乙方因自身原因确无法继续履行合同时，需提前壹个月以书面形式通知甲方，在取得甲方同意后，方可终止合同，否则须按合同总额的</w:t>
      </w:r>
      <w:r>
        <w:rPr>
          <w:szCs w:val="21"/>
        </w:rPr>
        <w:t>10%</w:t>
      </w:r>
      <w:r>
        <w:rPr>
          <w:rFonts w:hint="eastAsia"/>
          <w:szCs w:val="21"/>
        </w:rPr>
        <w:t>向甲方支付违约金违约金不足以弥补甲方损失的，乙方应进行赔偿。</w:t>
      </w:r>
    </w:p>
    <w:p w14:paraId="734F62FA">
      <w:pPr>
        <w:adjustRightInd w:val="0"/>
        <w:spacing w:line="360" w:lineRule="auto"/>
        <w:rPr>
          <w:szCs w:val="21"/>
        </w:rPr>
      </w:pPr>
      <w:r>
        <w:rPr>
          <w:rFonts w:hint="eastAsia"/>
          <w:szCs w:val="21"/>
        </w:rPr>
        <w:t>二、甲方应在每月</w:t>
      </w:r>
      <w:r>
        <w:rPr>
          <w:szCs w:val="21"/>
        </w:rPr>
        <w:t>20</w:t>
      </w:r>
      <w:r>
        <w:rPr>
          <w:rFonts w:hint="eastAsia"/>
          <w:szCs w:val="21"/>
        </w:rPr>
        <w:t>日前向乙方及时支付上月服务费用，若逾期未支付，乙方有权向甲方收取未付款总额日万分之四的违约金，但乙方未及时出具发票的情形除外。</w:t>
      </w:r>
    </w:p>
    <w:p w14:paraId="283FECE7">
      <w:pPr>
        <w:adjustRightInd w:val="0"/>
        <w:spacing w:line="360" w:lineRule="auto"/>
        <w:rPr>
          <w:szCs w:val="21"/>
        </w:rPr>
      </w:pPr>
      <w:r>
        <w:rPr>
          <w:rFonts w:hint="eastAsia"/>
          <w:szCs w:val="21"/>
        </w:rPr>
        <w:t>三、乙方有下列情形之一的，视为乙方严重违约，甲方可书面通知乙方解除本合同，并扣除履约保证金，如履约保证金不足以弥补损失的，甲方有权追偿。如甲方行使合同解除权的，本合同自甲方通知之日起解除，乙方须在通知书中规定的日期前将所派驻的秩序维护员无条件迁出，并办妥秩序服务场所内各项工作之交接手续。</w:t>
      </w:r>
    </w:p>
    <w:p w14:paraId="725CDAE3">
      <w:pPr>
        <w:adjustRightInd w:val="0"/>
        <w:spacing w:line="360" w:lineRule="auto"/>
        <w:rPr>
          <w:szCs w:val="21"/>
        </w:rPr>
      </w:pPr>
      <w:r>
        <w:rPr>
          <w:rFonts w:hint="eastAsia"/>
          <w:szCs w:val="21"/>
        </w:rPr>
        <w:t>1、乙方不具备或失去法律法规规定的从事保安服务的许可、资质、证照，以及甲方资格预审中规定的条件。</w:t>
      </w:r>
    </w:p>
    <w:p w14:paraId="093B5FD1">
      <w:pPr>
        <w:adjustRightInd w:val="0"/>
        <w:spacing w:line="360" w:lineRule="auto"/>
        <w:rPr>
          <w:szCs w:val="21"/>
        </w:rPr>
      </w:pPr>
      <w:r>
        <w:rPr>
          <w:rFonts w:hint="eastAsia"/>
          <w:szCs w:val="21"/>
        </w:rPr>
        <w:t>2、乙方提供的服务不符合法律法规的规定或提供服务过程中存在违法行为的。</w:t>
      </w:r>
    </w:p>
    <w:p w14:paraId="575AD1F9">
      <w:pPr>
        <w:adjustRightInd w:val="0"/>
        <w:spacing w:line="360" w:lineRule="auto"/>
        <w:rPr>
          <w:szCs w:val="21"/>
        </w:rPr>
      </w:pPr>
      <w:r>
        <w:rPr>
          <w:rFonts w:hint="eastAsia"/>
          <w:szCs w:val="21"/>
        </w:rPr>
        <w:t>3、未经甲方书面许可，乙方将其根据合同规定应提供的秩序服务全部或部分转包给第三方的。</w:t>
      </w:r>
    </w:p>
    <w:p w14:paraId="69ECCBE5">
      <w:pPr>
        <w:adjustRightInd w:val="0"/>
        <w:spacing w:line="360" w:lineRule="auto"/>
        <w:rPr>
          <w:szCs w:val="21"/>
        </w:rPr>
      </w:pPr>
      <w:r>
        <w:rPr>
          <w:rFonts w:hint="eastAsia"/>
          <w:szCs w:val="21"/>
        </w:rPr>
        <w:t>4、乙方员工</w:t>
      </w:r>
      <w:r>
        <w:rPr>
          <w:szCs w:val="21"/>
        </w:rPr>
        <w:t>5</w:t>
      </w:r>
      <w:r>
        <w:rPr>
          <w:rFonts w:hint="eastAsia"/>
          <w:szCs w:val="21"/>
        </w:rPr>
        <w:t>人（含）以上聚众闹事、罢工的。</w:t>
      </w:r>
    </w:p>
    <w:p w14:paraId="680F4C99">
      <w:pPr>
        <w:adjustRightInd w:val="0"/>
        <w:spacing w:line="360" w:lineRule="auto"/>
        <w:rPr>
          <w:szCs w:val="21"/>
        </w:rPr>
      </w:pPr>
      <w:r>
        <w:rPr>
          <w:rFonts w:hint="eastAsia"/>
          <w:szCs w:val="21"/>
        </w:rPr>
        <w:t>5、乙方派驻人员如查出使用虚假信息进行登记或招收有犯罪记录人员，以及乙方派驻人员年龄结构不符合要求超过合同约定总人数</w:t>
      </w:r>
      <w:r>
        <w:rPr>
          <w:szCs w:val="21"/>
        </w:rPr>
        <w:t>15%</w:t>
      </w:r>
      <w:r>
        <w:rPr>
          <w:rFonts w:hint="eastAsia"/>
          <w:szCs w:val="21"/>
        </w:rPr>
        <w:t>的。</w:t>
      </w:r>
    </w:p>
    <w:p w14:paraId="373F00EC">
      <w:pPr>
        <w:adjustRightInd w:val="0"/>
        <w:spacing w:line="360" w:lineRule="auto"/>
        <w:rPr>
          <w:szCs w:val="21"/>
        </w:rPr>
      </w:pPr>
      <w:r>
        <w:rPr>
          <w:rFonts w:hint="eastAsia"/>
          <w:szCs w:val="21"/>
        </w:rPr>
        <w:t>6、乙方</w:t>
      </w:r>
      <w:r>
        <w:rPr>
          <w:szCs w:val="21"/>
        </w:rPr>
        <w:t>进入清算程序，或乙方财产被强制执行</w:t>
      </w:r>
      <w:r>
        <w:rPr>
          <w:rFonts w:hint="eastAsia"/>
          <w:szCs w:val="21"/>
        </w:rPr>
        <w:t>或</w:t>
      </w:r>
      <w:r>
        <w:rPr>
          <w:szCs w:val="21"/>
        </w:rPr>
        <w:t>被接管人接收的</w:t>
      </w:r>
      <w:r>
        <w:rPr>
          <w:rFonts w:hint="eastAsia"/>
          <w:szCs w:val="21"/>
        </w:rPr>
        <w:t>。</w:t>
      </w:r>
    </w:p>
    <w:p w14:paraId="569E95B9">
      <w:pPr>
        <w:adjustRightInd w:val="0"/>
        <w:spacing w:line="360" w:lineRule="auto"/>
        <w:rPr>
          <w:szCs w:val="21"/>
        </w:rPr>
      </w:pPr>
      <w:r>
        <w:rPr>
          <w:rFonts w:hint="eastAsia"/>
          <w:szCs w:val="21"/>
        </w:rPr>
        <w:t>7、由于乙方原因导致本合同目的无法实现的。</w:t>
      </w:r>
    </w:p>
    <w:p w14:paraId="378D58DA">
      <w:pPr>
        <w:adjustRightInd w:val="0"/>
        <w:spacing w:line="360" w:lineRule="auto"/>
        <w:rPr>
          <w:szCs w:val="21"/>
        </w:rPr>
      </w:pPr>
      <w:r>
        <w:rPr>
          <w:rFonts w:hint="eastAsia"/>
          <w:szCs w:val="21"/>
        </w:rPr>
        <w:t>8、因乙方秩序维护服务整体质量达不到本合同约定标准或受到业主投诉，甲方连续三次提出书面整改意见，或乙方对甲方提出的整改意见未在要求时限内完成整改的，甲方按照【50%】标准扣除履约保证金。</w:t>
      </w:r>
    </w:p>
    <w:p w14:paraId="323C6D0A">
      <w:pPr>
        <w:adjustRightInd w:val="0"/>
        <w:spacing w:line="360" w:lineRule="auto"/>
        <w:rPr>
          <w:szCs w:val="21"/>
        </w:rPr>
      </w:pPr>
      <w:r>
        <w:rPr>
          <w:rFonts w:hint="eastAsia"/>
          <w:szCs w:val="21"/>
        </w:rPr>
        <w:t>9、因乙方员工严重扰乱或故意影响甲方正常工作和管理秩序的，以及乙方工作人员行为严重损害甲方声誉或利益的，甲方按照【100%】标准扣除履约保证金。</w:t>
      </w:r>
    </w:p>
    <w:p w14:paraId="1B5A9320">
      <w:pPr>
        <w:adjustRightInd w:val="0"/>
        <w:spacing w:line="360" w:lineRule="auto"/>
        <w:rPr>
          <w:szCs w:val="21"/>
        </w:rPr>
      </w:pPr>
      <w:r>
        <w:rPr>
          <w:rFonts w:hint="eastAsia"/>
          <w:szCs w:val="21"/>
        </w:rPr>
        <w:t>10、因乙方工作人员与业主或顾客发生争吵、打斗等行为造成恶劣影响，经甲方提出而乙方不积极处理及赔偿损失的，甲方按照【100%】标准扣除履约保证金。</w:t>
      </w:r>
    </w:p>
    <w:p w14:paraId="1FE3F53D">
      <w:pPr>
        <w:adjustRightInd w:val="0"/>
        <w:spacing w:line="360" w:lineRule="auto"/>
        <w:rPr>
          <w:szCs w:val="21"/>
        </w:rPr>
      </w:pPr>
      <w:r>
        <w:rPr>
          <w:rFonts w:hint="eastAsia"/>
          <w:szCs w:val="21"/>
        </w:rPr>
        <w:t>11、乙方伪造、变造工作记录或制造虚伪不实的工作记录，或拒绝甲方抽查的，甲方按照【50%】标准扣除履约保证金。</w:t>
      </w:r>
      <w:r>
        <w:rPr>
          <w:szCs w:val="21"/>
        </w:rPr>
        <w:t xml:space="preserve"> </w:t>
      </w:r>
    </w:p>
    <w:p w14:paraId="6CB656FF">
      <w:pPr>
        <w:adjustRightInd w:val="0"/>
        <w:spacing w:line="360" w:lineRule="auto"/>
        <w:rPr>
          <w:rFonts w:hint="eastAsia"/>
          <w:szCs w:val="21"/>
        </w:rPr>
      </w:pPr>
      <w:r>
        <w:rPr>
          <w:rFonts w:hint="eastAsia"/>
          <w:szCs w:val="21"/>
        </w:rPr>
        <w:t>四、乙方满足付款条件，但甲方连续【2 】个月及以上未能按时支付乙方秩序维护服务费的，乙方可单方面解除合同，且不支付违约金。</w:t>
      </w:r>
    </w:p>
    <w:p w14:paraId="3A18A8F7">
      <w:pPr>
        <w:adjustRightInd w:val="0"/>
        <w:spacing w:line="360" w:lineRule="auto"/>
        <w:rPr>
          <w:szCs w:val="21"/>
        </w:rPr>
      </w:pPr>
      <w:r>
        <w:rPr>
          <w:rFonts w:hint="eastAsia"/>
          <w:szCs w:val="21"/>
        </w:rPr>
        <w:t>五、本合同任何一方违约，违约方应赔偿因此给守约方造成的损失（包括但不限于守约方的直接损失、守约方维权产生的诉讼费、保全担保费、保全费、律师费、执行费、评估费、公告费等）。</w:t>
      </w:r>
    </w:p>
    <w:p w14:paraId="67337477">
      <w:pPr>
        <w:adjustRightInd w:val="0"/>
        <w:spacing w:line="360" w:lineRule="auto"/>
        <w:rPr>
          <w:rFonts w:hint="default" w:eastAsia="方正仿宋_GBK"/>
          <w:szCs w:val="21"/>
          <w:lang w:val="en-US" w:eastAsia="zh-CN"/>
        </w:rPr>
      </w:pPr>
      <w:r>
        <w:rPr>
          <w:rFonts w:hint="eastAsia"/>
          <w:szCs w:val="21"/>
        </w:rPr>
        <w:t xml:space="preserve">第十条 </w:t>
      </w:r>
      <w:r>
        <w:rPr>
          <w:rFonts w:hint="eastAsia"/>
          <w:szCs w:val="21"/>
          <w:lang w:val="en-US" w:eastAsia="zh-CN"/>
        </w:rPr>
        <w:t>合同退场机制</w:t>
      </w:r>
    </w:p>
    <w:p w14:paraId="449A2244">
      <w:pPr>
        <w:adjustRightInd w:val="0"/>
        <w:spacing w:line="360" w:lineRule="auto"/>
        <w:rPr>
          <w:rFonts w:hint="eastAsia"/>
          <w:szCs w:val="21"/>
        </w:rPr>
      </w:pPr>
      <w:r>
        <w:rPr>
          <w:rFonts w:hint="eastAsia"/>
          <w:szCs w:val="21"/>
        </w:rPr>
        <w:t>1、根据本合同考核方式，因乙方提供不合格服务，视为乙方违约，甲方有权给予乙方不合格服务进行处罚，并可单方与乙方终止合同，且不承担任何违约责任。</w:t>
      </w:r>
    </w:p>
    <w:p w14:paraId="36A36E2A">
      <w:pPr>
        <w:adjustRightInd w:val="0"/>
        <w:spacing w:line="360" w:lineRule="auto"/>
        <w:rPr>
          <w:rFonts w:hint="eastAsia"/>
          <w:szCs w:val="21"/>
        </w:rPr>
      </w:pPr>
      <w:r>
        <w:rPr>
          <w:rFonts w:hint="eastAsia"/>
          <w:szCs w:val="21"/>
        </w:rPr>
        <w:t>2、若乙方违反本合同约定有关内容，甲方有权要求乙方在3天内予以改进或整改；如果乙方在3天内未采取实际行为纠正完善的，甲方将按照考核表处以乙方违约金，并可以委托他人或第三方完成应尽义务(其费用由乙方承担)；若乙方多次视甲方依据合同提出的要求置之不理的，或乙方因为自身管理责任原因发生严重的安全及治安事件的，甲方有权终止合同，将乙方清退出场。同时甲方有权不支付不合格服务的费用，乙方还须承担相应赔偿责任，且甲方不承担任何违约责任。</w:t>
      </w:r>
    </w:p>
    <w:p w14:paraId="658E91E0">
      <w:pPr>
        <w:adjustRightInd w:val="0"/>
        <w:spacing w:line="360" w:lineRule="auto"/>
        <w:rPr>
          <w:rFonts w:hint="eastAsia"/>
          <w:szCs w:val="21"/>
        </w:rPr>
      </w:pPr>
      <w:r>
        <w:rPr>
          <w:rFonts w:hint="eastAsia"/>
          <w:szCs w:val="21"/>
        </w:rPr>
        <w:t>4、合同期内月度考核出现三次考核低于80分的情况，甲方有权终止合同并要求乙方承担由此产生的违约责任，以及甲方有权向乙方追偿由此造成的损失(包括但不限于由此产生的直接损失和间接损失、诉讼(仲裁)费、律师费、鉴定费等费用)。</w:t>
      </w:r>
    </w:p>
    <w:p w14:paraId="5B7F1CC7">
      <w:pPr>
        <w:adjustRightInd w:val="0"/>
        <w:spacing w:line="360" w:lineRule="auto"/>
        <w:rPr>
          <w:rFonts w:hint="eastAsia"/>
          <w:szCs w:val="21"/>
        </w:rPr>
      </w:pPr>
      <w:r>
        <w:rPr>
          <w:rFonts w:hint="eastAsia"/>
          <w:szCs w:val="21"/>
        </w:rPr>
        <w:t>5、如乙方发生管理责任或重大服务质量事件（如火灾、设备伤人等），导致或发生与此有关(包括乙方自身、甲方或其他第三方)的人身伤亡、财产损失、罚款、索赔、损失补偿、诉讼及其它一切责任和费用应由乙方负责承担，甲方保留停止对乙方期中费用支付和其他支付的权利，直至乙方妥善处理好上述纠纷为止。如给甲方或第三方带来不良负面影响，甲方可视情节轻重，有权对单次事件给予乙方处罚并纳入合同期内月度考核。情节较重终止合同，且不承担任何违约责任。</w:t>
      </w:r>
    </w:p>
    <w:p w14:paraId="1E213E5C">
      <w:pPr>
        <w:adjustRightInd w:val="0"/>
        <w:spacing w:line="360" w:lineRule="auto"/>
        <w:rPr>
          <w:rFonts w:hint="eastAsia"/>
          <w:szCs w:val="21"/>
        </w:rPr>
      </w:pPr>
      <w:r>
        <w:rPr>
          <w:rFonts w:hint="eastAsia"/>
          <w:szCs w:val="21"/>
        </w:rPr>
        <w:t>6、因乙方拖欠、拒付、克扣其员工工资、社保等问题并引发罢工或3人以上群体性事件时，甲方有权立即解除合同且不予退还履约担保。</w:t>
      </w:r>
    </w:p>
    <w:p w14:paraId="026FD998">
      <w:pPr>
        <w:adjustRightInd w:val="0"/>
        <w:spacing w:line="360" w:lineRule="auto"/>
        <w:rPr>
          <w:rFonts w:hint="eastAsia"/>
          <w:szCs w:val="21"/>
        </w:rPr>
      </w:pPr>
      <w:r>
        <w:rPr>
          <w:rFonts w:hint="eastAsia"/>
          <w:szCs w:val="21"/>
        </w:rPr>
        <w:t>9、本合同期限届满，双方未续签时，合同自然解除。</w:t>
      </w:r>
    </w:p>
    <w:p w14:paraId="67988D83">
      <w:pPr>
        <w:adjustRightInd w:val="0"/>
        <w:spacing w:line="360" w:lineRule="auto"/>
        <w:rPr>
          <w:szCs w:val="21"/>
        </w:rPr>
      </w:pPr>
      <w:r>
        <w:rPr>
          <w:rFonts w:hint="eastAsia"/>
          <w:szCs w:val="21"/>
        </w:rPr>
        <w:t>10、因城市规划调整、项目拆迁等不可抗力因素，导致物业服务项目灭失；或是因政策要求，需更换符合特定资质的物业服务主体，致使本合同不能履行或不能全部履行时，一方应及时向另一方通报情况，同时采取有效措施防止损失的进一步扩大，否则应对损失扩大的部分承担责任；并且该方应在不可抗力事故发生之日起7日内提供事故详情及不能履行、不能完全履行、迟延履行本合同或者不能按照本合同约定履行的事由的有效证明，并由双方平等协商，妥善处理合同中的相关事宜。</w:t>
      </w:r>
    </w:p>
    <w:p w14:paraId="60D7FD6B">
      <w:pPr>
        <w:adjustRightInd w:val="0"/>
        <w:spacing w:line="360" w:lineRule="auto"/>
        <w:rPr>
          <w:szCs w:val="21"/>
        </w:rPr>
      </w:pPr>
      <w:r>
        <w:rPr>
          <w:rFonts w:hint="eastAsia"/>
          <w:szCs w:val="21"/>
        </w:rPr>
        <w:t>第十一条  保密条款</w:t>
      </w:r>
    </w:p>
    <w:p w14:paraId="161D281C">
      <w:pPr>
        <w:adjustRightInd w:val="0"/>
        <w:spacing w:line="360" w:lineRule="auto"/>
        <w:rPr>
          <w:szCs w:val="21"/>
        </w:rPr>
      </w:pPr>
      <w:r>
        <w:rPr>
          <w:rFonts w:hint="eastAsia"/>
          <w:szCs w:val="21"/>
        </w:rPr>
        <w:t>一、甲乙双方有义务对本合同内容、本合同附件以及通过订立和履行本合同而获悉的对方的商业秘密严格保密。乙方对甲方提供的资料、信息（包括但不限于商业秘密、客户信息、技术资料、图纸、数据、工作计划、管理方案、检查标准等体系文件以及与业务有关的客户的信息及其他信息等）负保密责任。</w:t>
      </w:r>
    </w:p>
    <w:p w14:paraId="0B82AAE0">
      <w:pPr>
        <w:adjustRightInd w:val="0"/>
        <w:spacing w:line="360" w:lineRule="auto"/>
        <w:rPr>
          <w:szCs w:val="21"/>
        </w:rPr>
      </w:pPr>
      <w:r>
        <w:rPr>
          <w:rFonts w:hint="eastAsia"/>
          <w:szCs w:val="21"/>
        </w:rPr>
        <w:t>二、未经甲方书面同意，乙方不得以任何方式进行利用、向任何第三方披露或以其他方式予以公开。如乙方未履行本合同约定的保密义务，除应承担违约责任外，还应赔偿甲方由此产生的全部损失。</w:t>
      </w:r>
    </w:p>
    <w:p w14:paraId="79144D91">
      <w:pPr>
        <w:adjustRightInd w:val="0"/>
        <w:spacing w:line="360" w:lineRule="auto"/>
        <w:rPr>
          <w:szCs w:val="21"/>
        </w:rPr>
      </w:pPr>
      <w:r>
        <w:rPr>
          <w:rFonts w:hint="eastAsia"/>
          <w:szCs w:val="21"/>
        </w:rPr>
        <w:t>三、本保密条款为独立条款，甲乙双方的上述保密义务不因本合同的无效、终止或提前解除而终止。</w:t>
      </w:r>
    </w:p>
    <w:p w14:paraId="79FBF2D1">
      <w:pPr>
        <w:adjustRightInd w:val="0"/>
        <w:spacing w:line="360" w:lineRule="auto"/>
        <w:rPr>
          <w:szCs w:val="21"/>
        </w:rPr>
      </w:pPr>
      <w:r>
        <w:rPr>
          <w:rFonts w:hint="eastAsia"/>
          <w:szCs w:val="21"/>
        </w:rPr>
        <w:t>第十二条  不可抗力</w:t>
      </w:r>
    </w:p>
    <w:p w14:paraId="3A943E48">
      <w:pPr>
        <w:adjustRightInd w:val="0"/>
        <w:spacing w:line="360" w:lineRule="auto"/>
        <w:rPr>
          <w:szCs w:val="21"/>
        </w:rPr>
      </w:pPr>
      <w:r>
        <w:rPr>
          <w:rFonts w:hint="eastAsia"/>
          <w:szCs w:val="21"/>
        </w:rPr>
        <w:t>一、由于不能预见、不能避免和不能克服的自然原因或社会原因，致使本合同不能履行或者不能完全履行时，遇到上述不可抗力事件的一方，应立即书面通知合同相对方，并应在不可抗力事件发生后15天内，向合同相对方提供经不可抗力事件发生地区县级以上政府部门或公证机构出具的证明合同不能履行或需要延期履行、部分履行的有效证明文件原件，由合同各方按事件对履行合同影响的程度协商决定是否解除合同、或者部分或全部免除履行合同的责任、或者延期履行合同。</w:t>
      </w:r>
    </w:p>
    <w:p w14:paraId="1222B8B0">
      <w:pPr>
        <w:adjustRightInd w:val="0"/>
        <w:spacing w:line="360" w:lineRule="auto"/>
        <w:rPr>
          <w:szCs w:val="21"/>
        </w:rPr>
      </w:pPr>
      <w:r>
        <w:rPr>
          <w:rFonts w:hint="eastAsia"/>
          <w:szCs w:val="21"/>
        </w:rPr>
        <w:t>二、遭受不可抗力的一方未履行上述义务的，不能免除其违约责任。</w:t>
      </w:r>
    </w:p>
    <w:p w14:paraId="3F787908">
      <w:pPr>
        <w:adjustRightInd w:val="0"/>
        <w:spacing w:line="360" w:lineRule="auto"/>
        <w:rPr>
          <w:szCs w:val="21"/>
        </w:rPr>
      </w:pPr>
      <w:r>
        <w:rPr>
          <w:rFonts w:hint="eastAsia"/>
          <w:szCs w:val="21"/>
        </w:rPr>
        <w:t>三、合同成立以后客观情况发生了甲方和乙方在订立合同时无法预见的、非不可抗力造成的不属于商业风险的重大变化，继续履行合同对于一方明显不公平或者不能实现合同目的，一方提出变更或者解除合同的，双方可根据公平原则并结合合同履行的实际情况协商一致后将本合同予以变更或者解除。</w:t>
      </w:r>
    </w:p>
    <w:p w14:paraId="05C8AAAB">
      <w:pPr>
        <w:adjustRightInd w:val="0"/>
        <w:spacing w:line="360" w:lineRule="auto"/>
        <w:rPr>
          <w:szCs w:val="21"/>
        </w:rPr>
      </w:pPr>
      <w:r>
        <w:rPr>
          <w:rFonts w:hint="eastAsia"/>
          <w:szCs w:val="21"/>
        </w:rPr>
        <w:t>四、出现以下情况之一导致本合同无法继续履行的，则本合同终止，甲乙双方互不承担违约责任，则相关费用按实际使用时间计算，不足整月的按天计算，多退少补：</w:t>
      </w:r>
    </w:p>
    <w:p w14:paraId="30CE8B3C">
      <w:pPr>
        <w:adjustRightInd w:val="0"/>
        <w:spacing w:line="360" w:lineRule="auto"/>
        <w:rPr>
          <w:szCs w:val="21"/>
        </w:rPr>
      </w:pPr>
      <w:r>
        <w:rPr>
          <w:rFonts w:hint="eastAsia"/>
          <w:szCs w:val="21"/>
        </w:rPr>
        <w:t>1、因政府行为、场地拆迁、自然灾害、战争、罢工等不可抗力因素导致合同无法继续履行。</w:t>
      </w:r>
    </w:p>
    <w:p w14:paraId="2A1B5B85">
      <w:pPr>
        <w:adjustRightInd w:val="0"/>
        <w:spacing w:line="360" w:lineRule="auto"/>
        <w:rPr>
          <w:szCs w:val="21"/>
        </w:rPr>
      </w:pPr>
      <w:r>
        <w:rPr>
          <w:rFonts w:hint="eastAsia"/>
          <w:szCs w:val="21"/>
        </w:rPr>
        <w:t>2、甲方失去项目的物业经营管理权导致合同无法继续履行。</w:t>
      </w:r>
    </w:p>
    <w:p w14:paraId="3567B2DC">
      <w:pPr>
        <w:adjustRightInd w:val="0"/>
        <w:spacing w:line="360" w:lineRule="auto"/>
        <w:rPr>
          <w:szCs w:val="21"/>
        </w:rPr>
      </w:pPr>
      <w:r>
        <w:rPr>
          <w:rFonts w:hint="eastAsia"/>
          <w:szCs w:val="21"/>
        </w:rPr>
        <w:t>第十三条  通知条款</w:t>
      </w:r>
    </w:p>
    <w:p w14:paraId="3718E1E1">
      <w:pPr>
        <w:adjustRightInd w:val="0"/>
        <w:spacing w:line="360" w:lineRule="auto"/>
        <w:rPr>
          <w:szCs w:val="21"/>
        </w:rPr>
      </w:pPr>
      <w:r>
        <w:rPr>
          <w:rFonts w:hint="eastAsia"/>
          <w:szCs w:val="21"/>
        </w:rPr>
        <w:t>一、因本合同涉及的函告、通知，以及法院送达诉讼文书及其他任何书式材料，除直接送达对方签收外，双方在本合同载明地址或双方法定地址作为送达前述书式材料的地址，因前述地址有误或未及时告知变更后的地址，导致前述书式材料未能实际被接收的，或被拒收的，邮寄送达前述书式材料的邮寄出之日即视为送达之日。采用电子邮件、传真等方式送达的，以传真、电子邮件等到达受送达人特定系统的日期为送达日期。</w:t>
      </w:r>
    </w:p>
    <w:p w14:paraId="439ACAD5">
      <w:pPr>
        <w:adjustRightInd w:val="0"/>
        <w:spacing w:line="360" w:lineRule="auto"/>
        <w:rPr>
          <w:szCs w:val="21"/>
        </w:rPr>
      </w:pPr>
      <w:r>
        <w:rPr>
          <w:rFonts w:hint="eastAsia"/>
          <w:szCs w:val="21"/>
        </w:rPr>
        <w:t>二、甲乙双方指定联系人信息如下：</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3725"/>
        <w:gridCol w:w="3480"/>
      </w:tblGrid>
      <w:tr w14:paraId="5D72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37" w:type="dxa"/>
            <w:shd w:val="clear" w:color="auto" w:fill="FFFFFF"/>
            <w:noWrap w:val="0"/>
            <w:vAlign w:val="center"/>
          </w:tcPr>
          <w:p w14:paraId="18E626A0">
            <w:pPr>
              <w:adjustRightInd w:val="0"/>
              <w:spacing w:line="360" w:lineRule="auto"/>
              <w:ind w:firstLine="0" w:firstLineChars="0"/>
              <w:jc w:val="center"/>
              <w:rPr>
                <w:szCs w:val="21"/>
              </w:rPr>
            </w:pPr>
          </w:p>
        </w:tc>
        <w:tc>
          <w:tcPr>
            <w:tcW w:w="3725" w:type="dxa"/>
            <w:shd w:val="clear" w:color="auto" w:fill="FFFFFF"/>
            <w:noWrap w:val="0"/>
            <w:vAlign w:val="center"/>
          </w:tcPr>
          <w:p w14:paraId="4D674337">
            <w:pPr>
              <w:adjustRightInd w:val="0"/>
              <w:spacing w:line="360" w:lineRule="auto"/>
              <w:ind w:firstLine="0" w:firstLineChars="0"/>
              <w:jc w:val="center"/>
              <w:rPr>
                <w:szCs w:val="21"/>
              </w:rPr>
            </w:pPr>
            <w:r>
              <w:rPr>
                <w:rFonts w:hint="eastAsia"/>
                <w:szCs w:val="21"/>
              </w:rPr>
              <w:t>甲方</w:t>
            </w:r>
          </w:p>
        </w:tc>
        <w:tc>
          <w:tcPr>
            <w:tcW w:w="3480" w:type="dxa"/>
            <w:shd w:val="clear" w:color="auto" w:fill="FFFFFF"/>
            <w:noWrap w:val="0"/>
            <w:vAlign w:val="center"/>
          </w:tcPr>
          <w:p w14:paraId="466AA395">
            <w:pPr>
              <w:adjustRightInd w:val="0"/>
              <w:spacing w:line="360" w:lineRule="auto"/>
              <w:ind w:firstLine="0" w:firstLineChars="0"/>
              <w:jc w:val="center"/>
              <w:rPr>
                <w:szCs w:val="21"/>
              </w:rPr>
            </w:pPr>
            <w:r>
              <w:rPr>
                <w:rFonts w:hint="eastAsia"/>
                <w:szCs w:val="21"/>
              </w:rPr>
              <w:t>乙方</w:t>
            </w:r>
          </w:p>
        </w:tc>
      </w:tr>
      <w:tr w14:paraId="44C0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37" w:type="dxa"/>
            <w:shd w:val="clear" w:color="auto" w:fill="FFFFFF"/>
            <w:noWrap w:val="0"/>
            <w:vAlign w:val="center"/>
          </w:tcPr>
          <w:p w14:paraId="0CCE35D9">
            <w:pPr>
              <w:adjustRightInd w:val="0"/>
              <w:spacing w:line="360" w:lineRule="auto"/>
              <w:ind w:firstLine="0" w:firstLineChars="0"/>
              <w:jc w:val="center"/>
              <w:rPr>
                <w:szCs w:val="21"/>
              </w:rPr>
            </w:pPr>
            <w:r>
              <w:rPr>
                <w:rFonts w:hint="eastAsia"/>
                <w:szCs w:val="21"/>
              </w:rPr>
              <w:t>联系人姓名</w:t>
            </w:r>
          </w:p>
        </w:tc>
        <w:tc>
          <w:tcPr>
            <w:tcW w:w="3725" w:type="dxa"/>
            <w:shd w:val="clear" w:color="auto" w:fill="F2F2F2"/>
            <w:noWrap w:val="0"/>
            <w:vAlign w:val="center"/>
          </w:tcPr>
          <w:p w14:paraId="08F388E5">
            <w:pPr>
              <w:adjustRightInd w:val="0"/>
              <w:spacing w:line="360" w:lineRule="auto"/>
              <w:ind w:firstLine="0" w:firstLineChars="0"/>
              <w:jc w:val="center"/>
              <w:rPr>
                <w:szCs w:val="21"/>
              </w:rPr>
            </w:pPr>
          </w:p>
        </w:tc>
        <w:tc>
          <w:tcPr>
            <w:tcW w:w="3480" w:type="dxa"/>
            <w:shd w:val="clear" w:color="auto" w:fill="F2F2F2"/>
            <w:noWrap w:val="0"/>
            <w:vAlign w:val="center"/>
          </w:tcPr>
          <w:p w14:paraId="056BB702">
            <w:pPr>
              <w:adjustRightInd w:val="0"/>
              <w:spacing w:line="360" w:lineRule="auto"/>
              <w:ind w:firstLine="0" w:firstLineChars="0"/>
              <w:jc w:val="center"/>
              <w:rPr>
                <w:szCs w:val="21"/>
              </w:rPr>
            </w:pPr>
          </w:p>
        </w:tc>
      </w:tr>
      <w:tr w14:paraId="39B14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37" w:type="dxa"/>
            <w:shd w:val="clear" w:color="auto" w:fill="FFFFFF"/>
            <w:noWrap w:val="0"/>
            <w:vAlign w:val="center"/>
          </w:tcPr>
          <w:p w14:paraId="67A737C5">
            <w:pPr>
              <w:adjustRightInd w:val="0"/>
              <w:spacing w:line="360" w:lineRule="auto"/>
              <w:ind w:firstLine="0" w:firstLineChars="0"/>
              <w:jc w:val="center"/>
              <w:rPr>
                <w:szCs w:val="21"/>
              </w:rPr>
            </w:pPr>
            <w:r>
              <w:rPr>
                <w:rFonts w:hint="eastAsia"/>
                <w:szCs w:val="21"/>
              </w:rPr>
              <w:t>联系电话</w:t>
            </w:r>
          </w:p>
        </w:tc>
        <w:tc>
          <w:tcPr>
            <w:tcW w:w="3725" w:type="dxa"/>
            <w:noWrap w:val="0"/>
            <w:vAlign w:val="center"/>
          </w:tcPr>
          <w:p w14:paraId="17A85892">
            <w:pPr>
              <w:adjustRightInd w:val="0"/>
              <w:spacing w:line="360" w:lineRule="auto"/>
              <w:ind w:firstLine="0" w:firstLineChars="0"/>
              <w:jc w:val="center"/>
              <w:rPr>
                <w:szCs w:val="21"/>
              </w:rPr>
            </w:pPr>
          </w:p>
        </w:tc>
        <w:tc>
          <w:tcPr>
            <w:tcW w:w="3480" w:type="dxa"/>
            <w:noWrap w:val="0"/>
            <w:vAlign w:val="center"/>
          </w:tcPr>
          <w:p w14:paraId="2C5F9C0D">
            <w:pPr>
              <w:adjustRightInd w:val="0"/>
              <w:spacing w:line="360" w:lineRule="auto"/>
              <w:ind w:firstLine="0" w:firstLineChars="0"/>
              <w:jc w:val="center"/>
              <w:rPr>
                <w:szCs w:val="21"/>
              </w:rPr>
            </w:pPr>
          </w:p>
        </w:tc>
      </w:tr>
      <w:tr w14:paraId="4CA4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1537" w:type="dxa"/>
            <w:shd w:val="clear" w:color="auto" w:fill="FFFFFF"/>
            <w:noWrap w:val="0"/>
            <w:vAlign w:val="center"/>
          </w:tcPr>
          <w:p w14:paraId="72274A13">
            <w:pPr>
              <w:adjustRightInd w:val="0"/>
              <w:spacing w:line="360" w:lineRule="auto"/>
              <w:ind w:firstLine="0" w:firstLineChars="0"/>
              <w:jc w:val="center"/>
              <w:rPr>
                <w:szCs w:val="21"/>
              </w:rPr>
            </w:pPr>
            <w:r>
              <w:rPr>
                <w:rFonts w:hint="eastAsia"/>
                <w:szCs w:val="21"/>
              </w:rPr>
              <w:t>联系地址</w:t>
            </w:r>
          </w:p>
        </w:tc>
        <w:tc>
          <w:tcPr>
            <w:tcW w:w="3725" w:type="dxa"/>
            <w:shd w:val="clear" w:color="auto" w:fill="F2F2F2"/>
            <w:noWrap w:val="0"/>
            <w:vAlign w:val="center"/>
          </w:tcPr>
          <w:p w14:paraId="35E942F7">
            <w:pPr>
              <w:adjustRightInd w:val="0"/>
              <w:spacing w:line="360" w:lineRule="auto"/>
              <w:ind w:firstLine="0" w:firstLineChars="0"/>
              <w:jc w:val="center"/>
              <w:rPr>
                <w:szCs w:val="21"/>
              </w:rPr>
            </w:pPr>
          </w:p>
        </w:tc>
        <w:tc>
          <w:tcPr>
            <w:tcW w:w="3480" w:type="dxa"/>
            <w:shd w:val="clear" w:color="auto" w:fill="F2F2F2"/>
            <w:noWrap w:val="0"/>
            <w:vAlign w:val="center"/>
          </w:tcPr>
          <w:p w14:paraId="57E9EC19">
            <w:pPr>
              <w:adjustRightInd w:val="0"/>
              <w:spacing w:line="360" w:lineRule="auto"/>
              <w:ind w:firstLine="0" w:firstLineChars="0"/>
              <w:jc w:val="center"/>
              <w:rPr>
                <w:szCs w:val="21"/>
              </w:rPr>
            </w:pPr>
          </w:p>
        </w:tc>
      </w:tr>
      <w:tr w14:paraId="7E87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jc w:val="center"/>
        </w:trPr>
        <w:tc>
          <w:tcPr>
            <w:tcW w:w="1537" w:type="dxa"/>
            <w:shd w:val="clear" w:color="auto" w:fill="FFFFFF"/>
            <w:noWrap w:val="0"/>
            <w:vAlign w:val="center"/>
          </w:tcPr>
          <w:p w14:paraId="0FC1172D">
            <w:pPr>
              <w:adjustRightInd w:val="0"/>
              <w:spacing w:line="360" w:lineRule="auto"/>
              <w:ind w:firstLine="0" w:firstLineChars="0"/>
              <w:jc w:val="center"/>
              <w:rPr>
                <w:szCs w:val="21"/>
              </w:rPr>
            </w:pPr>
            <w:r>
              <w:rPr>
                <w:rFonts w:hint="eastAsia"/>
                <w:szCs w:val="21"/>
              </w:rPr>
              <w:t>电子邮箱</w:t>
            </w:r>
          </w:p>
        </w:tc>
        <w:tc>
          <w:tcPr>
            <w:tcW w:w="3725" w:type="dxa"/>
            <w:noWrap w:val="0"/>
            <w:vAlign w:val="center"/>
          </w:tcPr>
          <w:p w14:paraId="33C0D98D">
            <w:pPr>
              <w:adjustRightInd w:val="0"/>
              <w:spacing w:line="360" w:lineRule="auto"/>
              <w:ind w:firstLine="0" w:firstLineChars="0"/>
              <w:jc w:val="center"/>
              <w:rPr>
                <w:rFonts w:hint="eastAsia" w:eastAsia="宋体"/>
                <w:szCs w:val="21"/>
              </w:rPr>
            </w:pPr>
            <w:r>
              <w:rPr>
                <w:rFonts w:hint="eastAsia"/>
                <w:szCs w:val="21"/>
              </w:rPr>
              <w:t>/</w:t>
            </w:r>
          </w:p>
        </w:tc>
        <w:tc>
          <w:tcPr>
            <w:tcW w:w="3480" w:type="dxa"/>
            <w:noWrap w:val="0"/>
            <w:vAlign w:val="center"/>
          </w:tcPr>
          <w:p w14:paraId="0F4D3722">
            <w:pPr>
              <w:adjustRightInd w:val="0"/>
              <w:spacing w:line="360" w:lineRule="auto"/>
              <w:ind w:firstLine="0" w:firstLineChars="0"/>
              <w:jc w:val="center"/>
              <w:rPr>
                <w:rFonts w:hint="eastAsia" w:eastAsia="宋体"/>
                <w:szCs w:val="21"/>
              </w:rPr>
            </w:pPr>
            <w:r>
              <w:rPr>
                <w:rFonts w:hint="eastAsia"/>
                <w:szCs w:val="21"/>
              </w:rPr>
              <w:t>/</w:t>
            </w:r>
          </w:p>
        </w:tc>
      </w:tr>
      <w:tr w14:paraId="4335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37" w:type="dxa"/>
            <w:shd w:val="clear" w:color="auto" w:fill="FFFFFF"/>
            <w:noWrap w:val="0"/>
            <w:vAlign w:val="center"/>
          </w:tcPr>
          <w:p w14:paraId="26B83DA7">
            <w:pPr>
              <w:adjustRightInd w:val="0"/>
              <w:spacing w:line="360" w:lineRule="auto"/>
              <w:ind w:firstLine="0" w:firstLineChars="0"/>
              <w:jc w:val="center"/>
              <w:rPr>
                <w:szCs w:val="21"/>
              </w:rPr>
            </w:pPr>
            <w:r>
              <w:rPr>
                <w:rFonts w:hint="eastAsia"/>
                <w:szCs w:val="21"/>
              </w:rPr>
              <w:t>传真号码</w:t>
            </w:r>
          </w:p>
        </w:tc>
        <w:tc>
          <w:tcPr>
            <w:tcW w:w="3725" w:type="dxa"/>
            <w:shd w:val="clear" w:color="auto" w:fill="F2F2F2"/>
            <w:noWrap w:val="0"/>
            <w:vAlign w:val="center"/>
          </w:tcPr>
          <w:p w14:paraId="5DD9E1FE">
            <w:pPr>
              <w:adjustRightInd w:val="0"/>
              <w:spacing w:line="360" w:lineRule="auto"/>
              <w:ind w:firstLine="0" w:firstLineChars="0"/>
              <w:jc w:val="center"/>
              <w:rPr>
                <w:rFonts w:hint="eastAsia" w:eastAsia="宋体"/>
                <w:szCs w:val="21"/>
              </w:rPr>
            </w:pPr>
            <w:r>
              <w:rPr>
                <w:rFonts w:hint="eastAsia"/>
                <w:szCs w:val="21"/>
              </w:rPr>
              <w:t>/</w:t>
            </w:r>
          </w:p>
        </w:tc>
        <w:tc>
          <w:tcPr>
            <w:tcW w:w="3480" w:type="dxa"/>
            <w:shd w:val="clear" w:color="auto" w:fill="F2F2F2"/>
            <w:noWrap w:val="0"/>
            <w:vAlign w:val="center"/>
          </w:tcPr>
          <w:p w14:paraId="35839C00">
            <w:pPr>
              <w:adjustRightInd w:val="0"/>
              <w:spacing w:line="360" w:lineRule="auto"/>
              <w:ind w:firstLine="0" w:firstLineChars="0"/>
              <w:jc w:val="center"/>
              <w:rPr>
                <w:rFonts w:hint="eastAsia" w:eastAsia="宋体"/>
                <w:szCs w:val="21"/>
              </w:rPr>
            </w:pPr>
            <w:r>
              <w:rPr>
                <w:rFonts w:hint="eastAsia"/>
                <w:szCs w:val="21"/>
              </w:rPr>
              <w:t>/</w:t>
            </w:r>
          </w:p>
        </w:tc>
      </w:tr>
      <w:tr w14:paraId="004C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37" w:type="dxa"/>
            <w:shd w:val="clear" w:color="auto" w:fill="FFFFFF"/>
            <w:noWrap w:val="0"/>
            <w:vAlign w:val="center"/>
          </w:tcPr>
          <w:p w14:paraId="5D0AA173">
            <w:pPr>
              <w:adjustRightInd w:val="0"/>
              <w:spacing w:line="360" w:lineRule="auto"/>
              <w:ind w:firstLine="0" w:firstLineChars="0"/>
              <w:jc w:val="center"/>
              <w:rPr>
                <w:szCs w:val="21"/>
              </w:rPr>
            </w:pPr>
            <w:r>
              <w:rPr>
                <w:rFonts w:hint="eastAsia"/>
                <w:szCs w:val="21"/>
              </w:rPr>
              <w:t>备注</w:t>
            </w:r>
          </w:p>
        </w:tc>
        <w:tc>
          <w:tcPr>
            <w:tcW w:w="3725" w:type="dxa"/>
            <w:noWrap w:val="0"/>
            <w:vAlign w:val="center"/>
          </w:tcPr>
          <w:p w14:paraId="7EBD4B14">
            <w:pPr>
              <w:adjustRightInd w:val="0"/>
              <w:spacing w:line="360" w:lineRule="auto"/>
              <w:ind w:firstLine="0" w:firstLineChars="0"/>
              <w:jc w:val="center"/>
              <w:rPr>
                <w:rFonts w:hint="eastAsia" w:eastAsia="宋体"/>
                <w:szCs w:val="21"/>
              </w:rPr>
            </w:pPr>
            <w:r>
              <w:rPr>
                <w:rFonts w:hint="eastAsia"/>
                <w:szCs w:val="21"/>
              </w:rPr>
              <w:t>/</w:t>
            </w:r>
          </w:p>
        </w:tc>
        <w:tc>
          <w:tcPr>
            <w:tcW w:w="3480" w:type="dxa"/>
            <w:noWrap w:val="0"/>
            <w:vAlign w:val="center"/>
          </w:tcPr>
          <w:p w14:paraId="47EE017A">
            <w:pPr>
              <w:adjustRightInd w:val="0"/>
              <w:spacing w:line="360" w:lineRule="auto"/>
              <w:ind w:firstLine="0" w:firstLineChars="0"/>
              <w:jc w:val="center"/>
              <w:rPr>
                <w:rFonts w:hint="eastAsia" w:eastAsia="宋体"/>
                <w:szCs w:val="21"/>
              </w:rPr>
            </w:pPr>
            <w:r>
              <w:rPr>
                <w:rFonts w:hint="eastAsia"/>
                <w:szCs w:val="21"/>
              </w:rPr>
              <w:t>/</w:t>
            </w:r>
          </w:p>
        </w:tc>
      </w:tr>
    </w:tbl>
    <w:p w14:paraId="1914187E">
      <w:pPr>
        <w:adjustRightInd w:val="0"/>
        <w:spacing w:line="360" w:lineRule="auto"/>
        <w:rPr>
          <w:szCs w:val="21"/>
        </w:rPr>
      </w:pPr>
      <w:r>
        <w:rPr>
          <w:rFonts w:hint="eastAsia"/>
          <w:szCs w:val="21"/>
        </w:rPr>
        <w:t>第十四条  争议解决</w:t>
      </w:r>
    </w:p>
    <w:p w14:paraId="5099F3F3">
      <w:pPr>
        <w:adjustRightInd w:val="0"/>
        <w:spacing w:line="360" w:lineRule="auto"/>
        <w:rPr>
          <w:szCs w:val="21"/>
        </w:rPr>
      </w:pPr>
      <w:r>
        <w:rPr>
          <w:rFonts w:hint="eastAsia"/>
          <w:szCs w:val="21"/>
        </w:rPr>
        <w:t>本合同在履行过程中发生的争议，由双方当事人协商解决或向有关部门申请调解，协商、调解不成的，应依法向甲方住所地有管辖权的人民法院起诉解决。</w:t>
      </w:r>
    </w:p>
    <w:p w14:paraId="314860D7">
      <w:pPr>
        <w:adjustRightInd w:val="0"/>
        <w:spacing w:line="360" w:lineRule="auto"/>
        <w:rPr>
          <w:szCs w:val="21"/>
        </w:rPr>
      </w:pPr>
      <w:r>
        <w:rPr>
          <w:rFonts w:hint="eastAsia"/>
          <w:szCs w:val="21"/>
        </w:rPr>
        <w:t>第十五条  其他约定</w:t>
      </w:r>
    </w:p>
    <w:p w14:paraId="241491DA">
      <w:pPr>
        <w:adjustRightInd w:val="0"/>
        <w:spacing w:line="360" w:lineRule="auto"/>
        <w:rPr>
          <w:szCs w:val="21"/>
        </w:rPr>
      </w:pPr>
      <w:r>
        <w:rPr>
          <w:rFonts w:hint="eastAsia"/>
          <w:szCs w:val="21"/>
        </w:rPr>
        <w:t>一、双方本着友好合作原则商定，乙方进驻甲方现场后，若因服务范围扩大/减少或工作增加/减少，需增加/减少费用时，由双方协商议定并补充协议。</w:t>
      </w:r>
    </w:p>
    <w:p w14:paraId="3D97155A">
      <w:pPr>
        <w:adjustRightInd w:val="0"/>
        <w:spacing w:line="360" w:lineRule="auto"/>
        <w:rPr>
          <w:szCs w:val="21"/>
        </w:rPr>
      </w:pPr>
      <w:r>
        <w:rPr>
          <w:rFonts w:hint="eastAsia"/>
          <w:szCs w:val="21"/>
        </w:rPr>
        <w:t>二、本合同下列附件与合同正文同为合同之组成部分，具同等法律效力，并自合同签订之日起一并生效。</w:t>
      </w:r>
    </w:p>
    <w:p w14:paraId="0FADF6FF">
      <w:pPr>
        <w:adjustRightInd w:val="0"/>
        <w:spacing w:line="360" w:lineRule="auto"/>
        <w:rPr>
          <w:szCs w:val="21"/>
        </w:rPr>
      </w:pPr>
      <w:r>
        <w:rPr>
          <w:rFonts w:hint="eastAsia"/>
          <w:szCs w:val="21"/>
        </w:rPr>
        <w:t>三、双方协商一致，对本合同做出如下调整或者补充：</w:t>
      </w:r>
    </w:p>
    <w:p w14:paraId="65D3880B">
      <w:pPr>
        <w:adjustRightInd w:val="0"/>
        <w:spacing w:line="360" w:lineRule="auto"/>
        <w:rPr>
          <w:szCs w:val="21"/>
        </w:rPr>
      </w:pPr>
      <w:r>
        <w:rPr>
          <w:rFonts w:hint="eastAsia"/>
          <w:szCs w:val="21"/>
        </w:rPr>
        <w:t xml:space="preserve">   </w:t>
      </w:r>
      <w:r>
        <w:rPr>
          <w:rFonts w:hint="eastAsia"/>
          <w:szCs w:val="21"/>
          <w:u w:val="none"/>
        </w:rPr>
        <w:t xml:space="preserve">  </w:t>
      </w:r>
      <w:r>
        <w:rPr>
          <w:rFonts w:hint="eastAsia" w:ascii="Times New Roman" w:hAnsi="Times New Roman" w:eastAsia="方正仿宋_GBK" w:cs="Times New Roman"/>
          <w:sz w:val="24"/>
          <w:szCs w:val="21"/>
          <w:u w:val="none"/>
        </w:rPr>
        <w:t>当甲乙双方对考核标准有争议时，以</w:t>
      </w:r>
      <w:r>
        <w:rPr>
          <w:rFonts w:hint="eastAsia"/>
          <w:szCs w:val="21"/>
        </w:rPr>
        <w:t>华岩片区项目秩序选聘三方服务单位</w:t>
      </w:r>
      <w:r>
        <w:rPr>
          <w:rFonts w:hint="eastAsia" w:ascii="Times New Roman" w:hAnsi="Times New Roman" w:eastAsia="方正仿宋_GBK" w:cs="Times New Roman"/>
          <w:sz w:val="24"/>
          <w:szCs w:val="21"/>
          <w:u w:val="none"/>
        </w:rPr>
        <w:t>的标准为依据，</w:t>
      </w:r>
      <w:r>
        <w:rPr>
          <w:rFonts w:hint="eastAsia" w:ascii="Times New Roman" w:hAnsi="Times New Roman" w:eastAsia="方正仿宋_GBK" w:cs="Times New Roman"/>
          <w:sz w:val="24"/>
          <w:szCs w:val="21"/>
          <w:u w:val="none"/>
          <w:lang w:eastAsia="zh-Hans"/>
        </w:rPr>
        <w:t>乙方参照该标准向甲方支付考核不合格的违约金。</w:t>
      </w:r>
      <w:r>
        <w:rPr>
          <w:rFonts w:hint="eastAsia"/>
          <w:szCs w:val="21"/>
        </w:rPr>
        <w:t xml:space="preserve">                                   </w:t>
      </w:r>
    </w:p>
    <w:p w14:paraId="0DD78BCF">
      <w:pPr>
        <w:adjustRightInd w:val="0"/>
        <w:spacing w:line="360" w:lineRule="auto"/>
        <w:rPr>
          <w:szCs w:val="21"/>
        </w:rPr>
      </w:pPr>
      <w:r>
        <w:rPr>
          <w:rFonts w:hint="eastAsia"/>
          <w:szCs w:val="21"/>
        </w:rPr>
        <w:t>四、为避免歧义，特做出如下说明：</w:t>
      </w:r>
    </w:p>
    <w:p w14:paraId="5C33BF5F">
      <w:pPr>
        <w:adjustRightInd w:val="0"/>
        <w:spacing w:line="360" w:lineRule="auto"/>
        <w:rPr>
          <w:szCs w:val="21"/>
        </w:rPr>
      </w:pPr>
      <w:r>
        <w:rPr>
          <w:rFonts w:hint="eastAsia"/>
          <w:szCs w:val="21"/>
        </w:rPr>
        <w:t>1、本合同签订前，甲乙双方已对合同内容予以充分的沟通与协商，本合同的签订不存在重大误解、显失公平等情形；</w:t>
      </w:r>
    </w:p>
    <w:p w14:paraId="627C9CD0">
      <w:pPr>
        <w:adjustRightInd w:val="0"/>
        <w:spacing w:line="360" w:lineRule="auto"/>
        <w:rPr>
          <w:szCs w:val="21"/>
        </w:rPr>
      </w:pPr>
      <w:r>
        <w:rPr>
          <w:rFonts w:hint="eastAsia"/>
          <w:szCs w:val="21"/>
        </w:rPr>
        <w:t>2、甲乙双方如需对本合同内容予以调整或者补充，可以在本条第3款进行约定，该部分内容如为手写，需加盖双方公章方为有效，否则无效；本条第3款的约定与本条其他款项内容冲突的，以本条第3款的约定为准。如本条第3款内容为空，即视为双方对本合同内容予以认可，无需调整或补充内容。</w:t>
      </w:r>
    </w:p>
    <w:p w14:paraId="2B3F4374">
      <w:pPr>
        <w:adjustRightInd w:val="0"/>
        <w:spacing w:line="360" w:lineRule="auto"/>
        <w:rPr>
          <w:szCs w:val="21"/>
        </w:rPr>
      </w:pPr>
      <w:r>
        <w:rPr>
          <w:rFonts w:hint="eastAsia"/>
          <w:szCs w:val="21"/>
        </w:rPr>
        <w:t>3、本协议所有条款均系合同各方基于平等协商的基础上达成，各方在签约前已对所有协议内容进行核实，并确认如下：合同当事人之间的权利和义务公平合理，具备提示义务的一方，已采用口头、书面等合理的方式提示对方注意免除或减轻一方责任、加重另一方责任或限制、排除另一方主要权利的条款，并按对方要求对该条款进行逐一解释、说明。各方一致认可本合同内容不存在重大误解、显失公平、欺诈、胁迫、乘人之危、损害国家及第三人利益等情形，是双方协商一致的真实意思表示。</w:t>
      </w:r>
    </w:p>
    <w:p w14:paraId="1669543F">
      <w:pPr>
        <w:adjustRightInd w:val="0"/>
        <w:spacing w:line="360" w:lineRule="auto"/>
        <w:rPr>
          <w:szCs w:val="21"/>
        </w:rPr>
      </w:pPr>
      <w:r>
        <w:rPr>
          <w:rFonts w:hint="eastAsia"/>
          <w:szCs w:val="21"/>
        </w:rPr>
        <w:t>4、本协议一式</w:t>
      </w:r>
      <w:r>
        <w:rPr>
          <w:rFonts w:hint="eastAsia"/>
          <w:szCs w:val="21"/>
          <w:u w:val="single"/>
        </w:rPr>
        <w:t xml:space="preserve"> 肆</w:t>
      </w:r>
      <w:r>
        <w:rPr>
          <w:rFonts w:hint="eastAsia"/>
          <w:szCs w:val="21"/>
        </w:rPr>
        <w:t xml:space="preserve">份，甲、乙双方各执 </w:t>
      </w:r>
      <w:r>
        <w:rPr>
          <w:rFonts w:hint="eastAsia"/>
          <w:szCs w:val="21"/>
          <w:u w:val="single"/>
        </w:rPr>
        <w:t>贰</w:t>
      </w:r>
      <w:r>
        <w:rPr>
          <w:rFonts w:hint="eastAsia"/>
          <w:szCs w:val="21"/>
        </w:rPr>
        <w:t>份，具有同等效力。</w:t>
      </w:r>
    </w:p>
    <w:p w14:paraId="73FAB6E9">
      <w:pPr>
        <w:adjustRightInd w:val="0"/>
        <w:spacing w:line="360" w:lineRule="auto"/>
        <w:rPr>
          <w:szCs w:val="21"/>
        </w:rPr>
      </w:pPr>
      <w:r>
        <w:rPr>
          <w:rFonts w:hint="eastAsia"/>
          <w:szCs w:val="21"/>
        </w:rPr>
        <w:t>附件：1、《岗位人员标准及秩序服务标准》</w:t>
      </w:r>
    </w:p>
    <w:p w14:paraId="53F538C0">
      <w:pPr>
        <w:adjustRightInd w:val="0"/>
        <w:spacing w:line="360" w:lineRule="auto"/>
        <w:ind w:firstLine="720" w:firstLineChars="300"/>
        <w:rPr>
          <w:rFonts w:hint="eastAsia" w:eastAsia="宋体"/>
          <w:szCs w:val="21"/>
        </w:rPr>
      </w:pPr>
      <w:r>
        <w:rPr>
          <w:rFonts w:hint="eastAsia"/>
          <w:szCs w:val="21"/>
        </w:rPr>
        <w:t>2、《岗位定编》</w:t>
      </w:r>
    </w:p>
    <w:p w14:paraId="40F77932">
      <w:pPr>
        <w:adjustRightInd w:val="0"/>
        <w:spacing w:line="360" w:lineRule="auto"/>
        <w:ind w:firstLine="720" w:firstLineChars="300"/>
        <w:rPr>
          <w:rFonts w:hint="eastAsia" w:eastAsia="宋体"/>
          <w:szCs w:val="21"/>
        </w:rPr>
      </w:pPr>
      <w:r>
        <w:rPr>
          <w:rFonts w:hint="eastAsia"/>
          <w:szCs w:val="21"/>
        </w:rPr>
        <w:t>3、《装备机具配置》</w:t>
      </w:r>
    </w:p>
    <w:p w14:paraId="568F1E2F">
      <w:pPr>
        <w:adjustRightInd w:val="0"/>
        <w:spacing w:line="360" w:lineRule="auto"/>
        <w:ind w:firstLine="720" w:firstLineChars="300"/>
        <w:rPr>
          <w:rFonts w:hint="eastAsia" w:eastAsia="宋体"/>
          <w:szCs w:val="21"/>
        </w:rPr>
      </w:pPr>
      <w:r>
        <w:rPr>
          <w:rFonts w:hint="eastAsia"/>
          <w:szCs w:val="21"/>
        </w:rPr>
        <w:t>4、《考核标准》</w:t>
      </w:r>
    </w:p>
    <w:p w14:paraId="0CDA012C">
      <w:pPr>
        <w:adjustRightInd w:val="0"/>
        <w:spacing w:line="360" w:lineRule="auto"/>
        <w:rPr>
          <w:rFonts w:hint="eastAsia" w:eastAsia="宋体"/>
          <w:szCs w:val="21"/>
        </w:rPr>
      </w:pPr>
      <w:r>
        <w:rPr>
          <w:rFonts w:hint="eastAsia"/>
          <w:szCs w:val="21"/>
        </w:rPr>
        <w:t xml:space="preserve">      5、《廉政协议书》</w:t>
      </w:r>
    </w:p>
    <w:p w14:paraId="472A4E91">
      <w:pPr>
        <w:adjustRightInd w:val="0"/>
        <w:spacing w:line="360" w:lineRule="auto"/>
        <w:rPr>
          <w:rFonts w:hint="eastAsia" w:eastAsia="宋体"/>
          <w:szCs w:val="21"/>
        </w:rPr>
      </w:pPr>
      <w:r>
        <w:rPr>
          <w:rFonts w:hint="eastAsia"/>
          <w:szCs w:val="21"/>
        </w:rPr>
        <w:t xml:space="preserve">      6、《安全责任承诺书》</w:t>
      </w:r>
    </w:p>
    <w:p w14:paraId="3494F5A0">
      <w:pPr>
        <w:adjustRightInd w:val="0"/>
        <w:spacing w:line="360" w:lineRule="auto"/>
        <w:rPr>
          <w:szCs w:val="21"/>
        </w:rPr>
      </w:pPr>
      <w:r>
        <w:rPr>
          <w:rFonts w:hint="eastAsia"/>
          <w:szCs w:val="21"/>
        </w:rPr>
        <w:t>【以下无正文】</w:t>
      </w:r>
    </w:p>
    <w:p w14:paraId="1CEC0936">
      <w:pPr>
        <w:adjustRightInd w:val="0"/>
        <w:spacing w:line="360" w:lineRule="auto"/>
        <w:rPr>
          <w:szCs w:val="21"/>
        </w:rPr>
      </w:pPr>
    </w:p>
    <w:p w14:paraId="4AAD70AE">
      <w:pPr>
        <w:adjustRightInd w:val="0"/>
        <w:spacing w:line="360" w:lineRule="auto"/>
        <w:rPr>
          <w:szCs w:val="21"/>
        </w:rPr>
      </w:pPr>
    </w:p>
    <w:p w14:paraId="710B4AC4">
      <w:pPr>
        <w:adjustRightInd w:val="0"/>
        <w:spacing w:line="360" w:lineRule="auto"/>
        <w:rPr>
          <w:szCs w:val="21"/>
        </w:rPr>
      </w:pPr>
      <w:r>
        <w:rPr>
          <w:rFonts w:hint="eastAsia"/>
          <w:szCs w:val="21"/>
        </w:rPr>
        <w:t>甲方：（盖章）                          乙方：（盖章）</w:t>
      </w:r>
    </w:p>
    <w:p w14:paraId="6E1BEA59">
      <w:pPr>
        <w:adjustRightInd w:val="0"/>
        <w:spacing w:line="360" w:lineRule="auto"/>
        <w:rPr>
          <w:szCs w:val="21"/>
        </w:rPr>
      </w:pPr>
      <w:r>
        <w:rPr>
          <w:rFonts w:hint="eastAsia"/>
          <w:szCs w:val="21"/>
        </w:rPr>
        <w:t xml:space="preserve">法定代表或代理人：                    </w:t>
      </w:r>
      <w:r>
        <w:rPr>
          <w:szCs w:val="21"/>
        </w:rPr>
        <w:t xml:space="preserve">  </w:t>
      </w:r>
      <w:r>
        <w:rPr>
          <w:rFonts w:hint="eastAsia"/>
          <w:szCs w:val="21"/>
        </w:rPr>
        <w:t>法定代表或代理人：</w:t>
      </w:r>
    </w:p>
    <w:p w14:paraId="4F74D2D4">
      <w:pPr>
        <w:adjustRightInd w:val="0"/>
        <w:spacing w:line="360" w:lineRule="auto"/>
        <w:rPr>
          <w:szCs w:val="21"/>
        </w:rPr>
      </w:pPr>
      <w:r>
        <w:rPr>
          <w:rFonts w:hint="eastAsia"/>
          <w:szCs w:val="21"/>
        </w:rPr>
        <w:t>联系电话：                              联系电话：</w:t>
      </w:r>
    </w:p>
    <w:p w14:paraId="2B5A51C1">
      <w:pPr>
        <w:adjustRightInd w:val="0"/>
        <w:spacing w:line="360" w:lineRule="auto"/>
        <w:rPr>
          <w:szCs w:val="21"/>
        </w:rPr>
      </w:pPr>
      <w:r>
        <w:rPr>
          <w:rFonts w:hint="eastAsia"/>
          <w:szCs w:val="21"/>
        </w:rPr>
        <w:t>日期：                                  日期：</w:t>
      </w:r>
      <w:r>
        <w:rPr>
          <w:szCs w:val="21"/>
        </w:rPr>
        <w:br w:type="page"/>
      </w:r>
    </w:p>
    <w:p w14:paraId="39742A17">
      <w:pPr>
        <w:adjustRightInd w:val="0"/>
        <w:spacing w:line="360" w:lineRule="auto"/>
        <w:rPr>
          <w:rFonts w:hint="default" w:eastAsia="方正仿宋_GBK"/>
          <w:szCs w:val="21"/>
          <w:lang w:val="en-US" w:eastAsia="zh-CN"/>
        </w:rPr>
      </w:pPr>
      <w:r>
        <w:rPr>
          <w:rFonts w:hint="eastAsia"/>
          <w:szCs w:val="21"/>
        </w:rPr>
        <w:t>附件一：岗位人员标准</w:t>
      </w:r>
      <w:r>
        <w:rPr>
          <w:rFonts w:hint="eastAsia"/>
          <w:szCs w:val="21"/>
          <w:lang w:val="en-US" w:eastAsia="zh-CN"/>
        </w:rPr>
        <w:t>及秩序服务标准</w:t>
      </w:r>
    </w:p>
    <w:tbl>
      <w:tblPr>
        <w:tblStyle w:val="58"/>
        <w:tblW w:w="9923" w:type="dxa"/>
        <w:jc w:val="center"/>
        <w:tblLayout w:type="autofit"/>
        <w:tblCellMar>
          <w:top w:w="0" w:type="dxa"/>
          <w:left w:w="108" w:type="dxa"/>
          <w:bottom w:w="0" w:type="dxa"/>
          <w:right w:w="108" w:type="dxa"/>
        </w:tblCellMar>
      </w:tblPr>
      <w:tblGrid>
        <w:gridCol w:w="2127"/>
        <w:gridCol w:w="7796"/>
      </w:tblGrid>
      <w:tr w14:paraId="17C1EE5C">
        <w:tblPrEx>
          <w:tblCellMar>
            <w:top w:w="0" w:type="dxa"/>
            <w:left w:w="108" w:type="dxa"/>
            <w:bottom w:w="0" w:type="dxa"/>
            <w:right w:w="108" w:type="dxa"/>
          </w:tblCellMar>
        </w:tblPrEx>
        <w:trPr>
          <w:trHeight w:val="1500" w:hRule="atLeast"/>
          <w:jc w:val="center"/>
        </w:trPr>
        <w:tc>
          <w:tcPr>
            <w:tcW w:w="2127" w:type="dxa"/>
            <w:vMerge w:val="restart"/>
            <w:tcBorders>
              <w:top w:val="single" w:color="auto" w:sz="4" w:space="0"/>
              <w:left w:val="single" w:color="auto" w:sz="4" w:space="0"/>
              <w:bottom w:val="single" w:color="auto" w:sz="4" w:space="0"/>
              <w:right w:val="single" w:color="auto" w:sz="4" w:space="0"/>
            </w:tcBorders>
            <w:noWrap/>
            <w:vAlign w:val="center"/>
          </w:tcPr>
          <w:p w14:paraId="41F260A5">
            <w:pPr>
              <w:adjustRightInd w:val="0"/>
              <w:spacing w:line="360" w:lineRule="auto"/>
              <w:jc w:val="center"/>
              <w:rPr>
                <w:szCs w:val="21"/>
              </w:rPr>
            </w:pPr>
            <w:r>
              <w:rPr>
                <w:rFonts w:hint="eastAsia"/>
                <w:szCs w:val="21"/>
              </w:rPr>
              <w:t>人员标准</w:t>
            </w:r>
          </w:p>
        </w:tc>
        <w:tc>
          <w:tcPr>
            <w:tcW w:w="7796" w:type="dxa"/>
            <w:tcBorders>
              <w:top w:val="single" w:color="auto" w:sz="4" w:space="0"/>
              <w:left w:val="nil"/>
              <w:bottom w:val="single" w:color="auto" w:sz="4" w:space="0"/>
              <w:right w:val="single" w:color="auto" w:sz="4" w:space="0"/>
            </w:tcBorders>
            <w:noWrap w:val="0"/>
            <w:vAlign w:val="bottom"/>
          </w:tcPr>
          <w:p w14:paraId="13B62C7A">
            <w:pPr>
              <w:adjustRightInd w:val="0"/>
              <w:spacing w:line="360" w:lineRule="auto"/>
              <w:rPr>
                <w:rFonts w:hint="eastAsia"/>
                <w:szCs w:val="21"/>
              </w:rPr>
            </w:pPr>
            <w:r>
              <w:rPr>
                <w:rFonts w:hint="eastAsia"/>
                <w:szCs w:val="21"/>
              </w:rPr>
              <w:t>一、安全综合主管1人。限男性，年龄18至55岁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包含55周岁</w:t>
            </w:r>
            <w:r>
              <w:rPr>
                <w:rFonts w:hint="eastAsia" w:ascii="宋体" w:hAnsi="宋体" w:cs="方正仿宋_GBK"/>
                <w:sz w:val="21"/>
                <w:szCs w:val="21"/>
                <w:lang w:eastAsia="zh-CN" w:bidi="ar"/>
              </w:rPr>
              <w:t>）</w:t>
            </w:r>
            <w:r>
              <w:rPr>
                <w:rFonts w:hint="eastAsia"/>
                <w:szCs w:val="21"/>
              </w:rPr>
              <w:t>，男性身高1.70米以上。</w:t>
            </w:r>
          </w:p>
          <w:p w14:paraId="42B4A49A">
            <w:pPr>
              <w:adjustRightInd w:val="0"/>
              <w:spacing w:line="360" w:lineRule="auto"/>
              <w:rPr>
                <w:rFonts w:hint="eastAsia"/>
                <w:szCs w:val="21"/>
                <w:highlight w:val="green"/>
              </w:rPr>
            </w:pPr>
            <w:r>
              <w:rPr>
                <w:rFonts w:hint="eastAsia"/>
                <w:szCs w:val="21"/>
              </w:rPr>
              <w:t>二、中控室4人。限男性，年龄18至58岁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szCs w:val="21"/>
              </w:rPr>
              <w:t>，身高1.70米以上</w:t>
            </w:r>
            <w:r>
              <w:rPr>
                <w:rFonts w:hint="eastAsia"/>
                <w:szCs w:val="21"/>
                <w:lang w:eastAsia="zh-CN"/>
              </w:rPr>
              <w:t>。</w:t>
            </w:r>
          </w:p>
          <w:p w14:paraId="71D2592F">
            <w:pPr>
              <w:adjustRightInd w:val="0"/>
              <w:spacing w:line="360" w:lineRule="auto"/>
              <w:rPr>
                <w:rFonts w:hint="eastAsia"/>
                <w:szCs w:val="21"/>
              </w:rPr>
            </w:pPr>
            <w:r>
              <w:rPr>
                <w:rFonts w:hint="eastAsia"/>
                <w:szCs w:val="21"/>
              </w:rPr>
              <w:t>三、形象岗2人。年龄 18 至 40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包含40周岁</w:t>
            </w:r>
            <w:r>
              <w:rPr>
                <w:rFonts w:hint="eastAsia" w:ascii="宋体" w:hAnsi="宋体" w:cs="方正仿宋_GBK"/>
                <w:sz w:val="21"/>
                <w:szCs w:val="21"/>
                <w:lang w:eastAsia="zh-CN" w:bidi="ar"/>
              </w:rPr>
              <w:t>）</w:t>
            </w:r>
            <w:r>
              <w:rPr>
                <w:rFonts w:hint="eastAsia"/>
                <w:szCs w:val="21"/>
              </w:rPr>
              <w:t>，高中及以上学历，男性身高 1.75 米以上，女性身高1.65米以上，具有相关工作经验。</w:t>
            </w:r>
          </w:p>
          <w:p w14:paraId="4424B48F">
            <w:pPr>
              <w:adjustRightInd w:val="0"/>
              <w:spacing w:line="360" w:lineRule="auto"/>
              <w:rPr>
                <w:szCs w:val="21"/>
              </w:rPr>
            </w:pPr>
            <w:r>
              <w:rPr>
                <w:rFonts w:hint="eastAsia"/>
                <w:szCs w:val="21"/>
              </w:rPr>
              <w:t>四、秩序员3人。男性年龄 18 至 58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szCs w:val="21"/>
              </w:rPr>
              <w:t>，身高 1.70 米以上，女性年龄 18-45岁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包含45周岁</w:t>
            </w:r>
            <w:r>
              <w:rPr>
                <w:rFonts w:hint="eastAsia" w:ascii="宋体" w:hAnsi="宋体" w:cs="方正仿宋_GBK"/>
                <w:sz w:val="21"/>
                <w:szCs w:val="21"/>
                <w:lang w:eastAsia="zh-CN" w:bidi="ar"/>
              </w:rPr>
              <w:t>）</w:t>
            </w:r>
            <w:r>
              <w:rPr>
                <w:rFonts w:hint="eastAsia"/>
                <w:szCs w:val="21"/>
              </w:rPr>
              <w:t>，身高 1.60 米以上，初中及以上学历，具有相关工作经验。</w:t>
            </w:r>
          </w:p>
          <w:p w14:paraId="0A8ECA91">
            <w:pPr>
              <w:adjustRightInd w:val="0"/>
              <w:spacing w:line="360" w:lineRule="auto"/>
              <w:rPr>
                <w:rFonts w:hint="eastAsia"/>
                <w:szCs w:val="21"/>
              </w:rPr>
            </w:pPr>
            <w:r>
              <w:rPr>
                <w:rFonts w:hint="eastAsia" w:ascii="宋体" w:hAnsi="宋体" w:cs="方正仿宋_GBK"/>
                <w:sz w:val="21"/>
                <w:szCs w:val="21"/>
                <w:lang w:bidi="ar"/>
              </w:rPr>
              <w:t>特别说明：关于本项目</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文件中年龄的相关表述，全部按照此例进行计算年龄，例：</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文件中要求人员为18-60岁（含60周岁），若</w:t>
            </w:r>
            <w:r>
              <w:rPr>
                <w:rFonts w:hint="eastAsia" w:ascii="宋体" w:hAnsi="宋体" w:cs="方正仿宋_GBK"/>
                <w:sz w:val="21"/>
                <w:szCs w:val="21"/>
                <w:lang w:val="en-US" w:eastAsia="zh-CN" w:bidi="ar"/>
              </w:rPr>
              <w:t>竞选人</w:t>
            </w:r>
            <w:r>
              <w:rPr>
                <w:rFonts w:hint="eastAsia" w:ascii="宋体" w:hAnsi="宋体" w:cs="方正仿宋_GBK"/>
                <w:sz w:val="21"/>
                <w:szCs w:val="21"/>
                <w:lang w:bidi="ar"/>
              </w:rPr>
              <w:t>拟派人员为60岁零9个月，则均属于60周岁范畴。</w:t>
            </w:r>
          </w:p>
          <w:p w14:paraId="7996B304">
            <w:pPr>
              <w:adjustRightInd w:val="0"/>
              <w:spacing w:line="360" w:lineRule="auto"/>
              <w:rPr>
                <w:szCs w:val="21"/>
              </w:rPr>
            </w:pPr>
            <w:r>
              <w:rPr>
                <w:rFonts w:hint="eastAsia"/>
                <w:szCs w:val="21"/>
              </w:rPr>
              <w:t>(此为最低标准，如外委标准有调整请在此处调整)</w:t>
            </w:r>
          </w:p>
        </w:tc>
      </w:tr>
      <w:tr w14:paraId="15D5E78A">
        <w:tblPrEx>
          <w:tblCellMar>
            <w:top w:w="0" w:type="dxa"/>
            <w:left w:w="108" w:type="dxa"/>
            <w:bottom w:w="0" w:type="dxa"/>
            <w:right w:w="108" w:type="dxa"/>
          </w:tblCellMar>
        </w:tblPrEx>
        <w:trPr>
          <w:trHeight w:val="570" w:hRule="atLeast"/>
          <w:jc w:val="center"/>
        </w:trPr>
        <w:tc>
          <w:tcPr>
            <w:tcW w:w="2127" w:type="dxa"/>
            <w:vMerge w:val="continue"/>
            <w:tcBorders>
              <w:top w:val="single" w:color="auto" w:sz="4" w:space="0"/>
              <w:left w:val="single" w:color="auto" w:sz="4" w:space="0"/>
              <w:bottom w:val="single" w:color="auto" w:sz="4" w:space="0"/>
              <w:right w:val="single" w:color="auto" w:sz="4" w:space="0"/>
            </w:tcBorders>
            <w:noWrap w:val="0"/>
            <w:vAlign w:val="center"/>
          </w:tcPr>
          <w:p w14:paraId="343CA0B0">
            <w:pPr>
              <w:adjustRightInd w:val="0"/>
              <w:spacing w:line="360" w:lineRule="auto"/>
              <w:rPr>
                <w:szCs w:val="21"/>
              </w:rPr>
            </w:pPr>
          </w:p>
        </w:tc>
        <w:tc>
          <w:tcPr>
            <w:tcW w:w="7796" w:type="dxa"/>
            <w:tcBorders>
              <w:top w:val="single" w:color="auto" w:sz="4" w:space="0"/>
              <w:left w:val="nil"/>
              <w:bottom w:val="single" w:color="auto" w:sz="4" w:space="0"/>
              <w:right w:val="single" w:color="auto" w:sz="4" w:space="0"/>
            </w:tcBorders>
            <w:noWrap w:val="0"/>
            <w:vAlign w:val="bottom"/>
          </w:tcPr>
          <w:p w14:paraId="2BA9A51B">
            <w:pPr>
              <w:adjustRightInd w:val="0"/>
              <w:spacing w:line="360" w:lineRule="auto"/>
              <w:rPr>
                <w:szCs w:val="21"/>
              </w:rPr>
            </w:pPr>
            <w:r>
              <w:rPr>
                <w:rFonts w:hint="eastAsia"/>
                <w:szCs w:val="21"/>
              </w:rPr>
              <w:t>2.政治素质：遵纪守法、无违法犯罪记录。有良好的职业道德素养、尊重上级、服从安排、听从指挥；爱岗敬业，恪尽职守，文明执勤，礼貌待人。</w:t>
            </w:r>
          </w:p>
        </w:tc>
      </w:tr>
      <w:tr w14:paraId="00346054">
        <w:tblPrEx>
          <w:tblCellMar>
            <w:top w:w="0" w:type="dxa"/>
            <w:left w:w="108" w:type="dxa"/>
            <w:bottom w:w="0" w:type="dxa"/>
            <w:right w:w="108" w:type="dxa"/>
          </w:tblCellMar>
        </w:tblPrEx>
        <w:trPr>
          <w:trHeight w:val="557" w:hRule="atLeast"/>
          <w:jc w:val="center"/>
        </w:trPr>
        <w:tc>
          <w:tcPr>
            <w:tcW w:w="2127" w:type="dxa"/>
            <w:vMerge w:val="continue"/>
            <w:tcBorders>
              <w:top w:val="nil"/>
              <w:left w:val="single" w:color="auto" w:sz="4" w:space="0"/>
              <w:bottom w:val="single" w:color="auto" w:sz="4" w:space="0"/>
              <w:right w:val="single" w:color="auto" w:sz="4" w:space="0"/>
            </w:tcBorders>
            <w:noWrap w:val="0"/>
            <w:vAlign w:val="center"/>
          </w:tcPr>
          <w:p w14:paraId="51672B55">
            <w:pPr>
              <w:adjustRightInd w:val="0"/>
              <w:spacing w:line="360" w:lineRule="auto"/>
              <w:rPr>
                <w:szCs w:val="21"/>
              </w:rPr>
            </w:pPr>
          </w:p>
        </w:tc>
        <w:tc>
          <w:tcPr>
            <w:tcW w:w="7796" w:type="dxa"/>
            <w:tcBorders>
              <w:top w:val="nil"/>
              <w:left w:val="nil"/>
              <w:bottom w:val="single" w:color="auto" w:sz="4" w:space="0"/>
              <w:right w:val="single" w:color="auto" w:sz="4" w:space="0"/>
            </w:tcBorders>
            <w:noWrap w:val="0"/>
            <w:vAlign w:val="bottom"/>
          </w:tcPr>
          <w:p w14:paraId="30C8C5D7">
            <w:pPr>
              <w:adjustRightInd w:val="0"/>
              <w:spacing w:line="360" w:lineRule="auto"/>
              <w:rPr>
                <w:szCs w:val="21"/>
              </w:rPr>
            </w:pPr>
            <w:r>
              <w:rPr>
                <w:rFonts w:hint="eastAsia"/>
                <w:szCs w:val="21"/>
              </w:rPr>
              <w:t>3.业务技能要求：经过急救、安防、消防相关专业知识技能培训，具备良好的处理突发事件能力，具备行业及相关岗位一定工作经验。</w:t>
            </w:r>
            <w:r>
              <w:rPr>
                <w:rFonts w:hint="eastAsia"/>
                <w:color w:val="FFFFFF"/>
                <w:szCs w:val="21"/>
                <w:highlight w:val="none"/>
                <w:lang w:val="en-US" w:eastAsia="zh-CN"/>
              </w:rPr>
              <w:t>安全综合主管</w:t>
            </w:r>
            <w:r>
              <w:rPr>
                <w:rFonts w:hint="eastAsia"/>
                <w:szCs w:val="21"/>
              </w:rPr>
              <w:t>须具备1年以上同行业工作经验，服务意识强，团队业务标杆，能培训他人、纠正他人、带动他人、引导他人、鼓舞他人。熟悉常用办公软件，有大局观、团队协作和管理能力，有使命感、有责任心，有魄力、敢担当。善于培训他人、带动他人、鼓舞他人、造就他人，善于观察、总结，有风险预判能力和独立处理应急事件的能力，不弄虚作假、不徇私舞弊，公平公正、善待员工。</w:t>
            </w:r>
          </w:p>
        </w:tc>
      </w:tr>
      <w:tr w14:paraId="5BE6C276">
        <w:tblPrEx>
          <w:tblCellMar>
            <w:top w:w="0" w:type="dxa"/>
            <w:left w:w="108" w:type="dxa"/>
            <w:bottom w:w="0" w:type="dxa"/>
            <w:right w:w="108" w:type="dxa"/>
          </w:tblCellMar>
        </w:tblPrEx>
        <w:trPr>
          <w:trHeight w:val="570" w:hRule="atLeast"/>
          <w:jc w:val="center"/>
        </w:trPr>
        <w:tc>
          <w:tcPr>
            <w:tcW w:w="2127" w:type="dxa"/>
            <w:vMerge w:val="continue"/>
            <w:tcBorders>
              <w:top w:val="nil"/>
              <w:left w:val="single" w:color="auto" w:sz="4" w:space="0"/>
              <w:bottom w:val="single" w:color="auto" w:sz="4" w:space="0"/>
              <w:right w:val="single" w:color="auto" w:sz="4" w:space="0"/>
            </w:tcBorders>
            <w:noWrap w:val="0"/>
            <w:vAlign w:val="center"/>
          </w:tcPr>
          <w:p w14:paraId="5B1E6EE9">
            <w:pPr>
              <w:adjustRightInd w:val="0"/>
              <w:spacing w:line="360" w:lineRule="auto"/>
              <w:rPr>
                <w:szCs w:val="21"/>
              </w:rPr>
            </w:pPr>
          </w:p>
        </w:tc>
        <w:tc>
          <w:tcPr>
            <w:tcW w:w="7796" w:type="dxa"/>
            <w:tcBorders>
              <w:top w:val="nil"/>
              <w:left w:val="nil"/>
              <w:bottom w:val="single" w:color="auto" w:sz="4" w:space="0"/>
              <w:right w:val="single" w:color="auto" w:sz="4" w:space="0"/>
            </w:tcBorders>
            <w:noWrap w:val="0"/>
            <w:vAlign w:val="bottom"/>
          </w:tcPr>
          <w:p w14:paraId="78C13433">
            <w:pPr>
              <w:adjustRightInd w:val="0"/>
              <w:spacing w:line="360" w:lineRule="auto"/>
              <w:rPr>
                <w:szCs w:val="21"/>
              </w:rPr>
            </w:pPr>
            <w:r>
              <w:rPr>
                <w:rFonts w:hint="eastAsia"/>
                <w:szCs w:val="21"/>
              </w:rPr>
              <w:t>4.文化条件：形象岗须具备高中及以上学历，具备较好的语言表达及沟通协调能力，秩序员须具备初中及以上学历，语言表达、文字书写、沟通协调能力较好。</w:t>
            </w:r>
          </w:p>
        </w:tc>
      </w:tr>
      <w:tr w14:paraId="1A463511">
        <w:tblPrEx>
          <w:tblCellMar>
            <w:top w:w="0" w:type="dxa"/>
            <w:left w:w="108" w:type="dxa"/>
            <w:bottom w:w="0" w:type="dxa"/>
            <w:right w:w="108" w:type="dxa"/>
          </w:tblCellMar>
        </w:tblPrEx>
        <w:trPr>
          <w:trHeight w:val="285" w:hRule="atLeast"/>
          <w:jc w:val="center"/>
        </w:trPr>
        <w:tc>
          <w:tcPr>
            <w:tcW w:w="2127" w:type="dxa"/>
            <w:vMerge w:val="continue"/>
            <w:tcBorders>
              <w:top w:val="nil"/>
              <w:left w:val="single" w:color="auto" w:sz="4" w:space="0"/>
              <w:bottom w:val="single" w:color="auto" w:sz="4" w:space="0"/>
              <w:right w:val="single" w:color="auto" w:sz="4" w:space="0"/>
            </w:tcBorders>
            <w:noWrap w:val="0"/>
            <w:vAlign w:val="center"/>
          </w:tcPr>
          <w:p w14:paraId="1549481D">
            <w:pPr>
              <w:adjustRightInd w:val="0"/>
              <w:spacing w:line="360" w:lineRule="auto"/>
              <w:rPr>
                <w:szCs w:val="21"/>
              </w:rPr>
            </w:pPr>
          </w:p>
        </w:tc>
        <w:tc>
          <w:tcPr>
            <w:tcW w:w="7796" w:type="dxa"/>
            <w:tcBorders>
              <w:top w:val="nil"/>
              <w:left w:val="nil"/>
              <w:bottom w:val="single" w:color="auto" w:sz="4" w:space="0"/>
              <w:right w:val="single" w:color="auto" w:sz="4" w:space="0"/>
            </w:tcBorders>
            <w:noWrap w:val="0"/>
            <w:vAlign w:val="bottom"/>
          </w:tcPr>
          <w:p w14:paraId="6FDB1E32">
            <w:pPr>
              <w:adjustRightInd w:val="0"/>
              <w:spacing w:line="360" w:lineRule="auto"/>
              <w:rPr>
                <w:szCs w:val="21"/>
              </w:rPr>
            </w:pPr>
            <w:r>
              <w:rPr>
                <w:rFonts w:hint="eastAsia"/>
                <w:szCs w:val="21"/>
              </w:rPr>
              <w:t>5.乙方安排至甲方现场服务人员至少50%在乙方连续司龄6个月以上，女员工比例不超过团队总人数的30%。</w:t>
            </w:r>
          </w:p>
        </w:tc>
      </w:tr>
    </w:tbl>
    <w:p w14:paraId="402EFE70">
      <w:pPr>
        <w:adjustRightInd w:val="0"/>
        <w:spacing w:line="360" w:lineRule="auto"/>
        <w:ind w:firstLine="0" w:firstLineChars="0"/>
        <w:rPr>
          <w:rFonts w:hint="eastAsia" w:ascii="方正仿宋_GBK" w:hAnsi="方正仿宋_GBK" w:eastAsia="方正仿宋_GBK" w:cs="方正仿宋_GBK"/>
          <w:b/>
          <w:sz w:val="21"/>
          <w:szCs w:val="21"/>
        </w:rPr>
      </w:pPr>
      <w:r>
        <w:rPr>
          <w:szCs w:val="21"/>
        </w:rPr>
        <w:br w:type="page"/>
      </w:r>
      <w:r>
        <w:rPr>
          <w:rFonts w:hint="eastAsia" w:ascii="方正仿宋_GBK" w:hAnsi="方正仿宋_GBK" w:eastAsia="方正仿宋_GBK" w:cs="方正仿宋_GBK"/>
          <w:b/>
        </w:rPr>
        <w:t>秩序服务标准</w:t>
      </w:r>
    </w:p>
    <w:tbl>
      <w:tblPr>
        <w:tblStyle w:val="58"/>
        <w:tblpPr w:leftFromText="180" w:rightFromText="180" w:vertAnchor="text" w:horzAnchor="page" w:tblpX="1087" w:tblpY="450"/>
        <w:tblOverlap w:val="never"/>
        <w:tblW w:w="9923" w:type="dxa"/>
        <w:tblInd w:w="0" w:type="dxa"/>
        <w:tblLayout w:type="fixed"/>
        <w:tblCellMar>
          <w:top w:w="0" w:type="dxa"/>
          <w:left w:w="108" w:type="dxa"/>
          <w:bottom w:w="0" w:type="dxa"/>
          <w:right w:w="108" w:type="dxa"/>
        </w:tblCellMar>
      </w:tblPr>
      <w:tblGrid>
        <w:gridCol w:w="1966"/>
        <w:gridCol w:w="7957"/>
      </w:tblGrid>
      <w:tr w14:paraId="05011E80">
        <w:tblPrEx>
          <w:tblCellMar>
            <w:top w:w="0" w:type="dxa"/>
            <w:left w:w="108" w:type="dxa"/>
            <w:bottom w:w="0" w:type="dxa"/>
            <w:right w:w="108" w:type="dxa"/>
          </w:tblCellMar>
        </w:tblPrEx>
        <w:trPr>
          <w:trHeight w:val="285" w:hRule="atLeast"/>
        </w:trPr>
        <w:tc>
          <w:tcPr>
            <w:tcW w:w="1966" w:type="dxa"/>
            <w:vMerge w:val="restart"/>
            <w:tcBorders>
              <w:top w:val="single" w:color="auto" w:sz="4" w:space="0"/>
              <w:left w:val="single" w:color="auto" w:sz="4" w:space="0"/>
              <w:bottom w:val="single" w:color="auto" w:sz="4" w:space="0"/>
              <w:right w:val="single" w:color="auto" w:sz="4" w:space="0"/>
            </w:tcBorders>
            <w:noWrap/>
            <w:vAlign w:val="center"/>
          </w:tcPr>
          <w:p w14:paraId="4EA49FE4">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工作范围</w:t>
            </w:r>
          </w:p>
        </w:tc>
        <w:tc>
          <w:tcPr>
            <w:tcW w:w="7957" w:type="dxa"/>
            <w:tcBorders>
              <w:top w:val="single" w:color="auto" w:sz="4" w:space="0"/>
              <w:left w:val="nil"/>
              <w:bottom w:val="single" w:color="auto" w:sz="4" w:space="0"/>
              <w:right w:val="single" w:color="auto" w:sz="4" w:space="0"/>
            </w:tcBorders>
            <w:noWrap w:val="0"/>
            <w:vAlign w:val="bottom"/>
          </w:tcPr>
          <w:p w14:paraId="6DF2931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1.负责服务区域内的全时段巡查、消防管理、治安防范和公共秩序维护</w:t>
            </w:r>
          </w:p>
        </w:tc>
      </w:tr>
      <w:tr w14:paraId="02797FEC">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39C75CC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0A8A72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2.负责服务区域内的出入口值守和临停收费工作</w:t>
            </w:r>
          </w:p>
        </w:tc>
      </w:tr>
      <w:tr w14:paraId="3C81F50E">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5567A8A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876740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highlight w:val="none"/>
              </w:rPr>
              <w:t>3.负责服务区域中控室（含监控室和消控室）的值守管理工作</w:t>
            </w:r>
          </w:p>
        </w:tc>
      </w:tr>
      <w:tr w14:paraId="7155CA23">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223D81A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23C838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4.负责服务区域内的交通秩序管控和高峰期车辆指挥疏导工作</w:t>
            </w:r>
          </w:p>
        </w:tc>
      </w:tr>
      <w:tr w14:paraId="06243797">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4A86490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4D12D4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5.负责协助招标单位做好服务区域内的各类安全隐患排查整治工作</w:t>
            </w:r>
          </w:p>
        </w:tc>
      </w:tr>
      <w:tr w14:paraId="447E887E">
        <w:tblPrEx>
          <w:tblCellMar>
            <w:top w:w="0" w:type="dxa"/>
            <w:left w:w="108" w:type="dxa"/>
            <w:bottom w:w="0" w:type="dxa"/>
            <w:right w:w="108" w:type="dxa"/>
          </w:tblCellMar>
        </w:tblPrEx>
        <w:trPr>
          <w:trHeight w:val="570"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34B114C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AF7735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6.负责服务区域内各类突发事件、紧急事件、自然灾害天气的预控、前期处置及配合招标单位进行相关善后处置工作。</w:t>
            </w:r>
          </w:p>
        </w:tc>
      </w:tr>
      <w:tr w14:paraId="5BD42634">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59698F7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9F6DC7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7.负责服务区域内客户的报警求助及相关帮扶工作。</w:t>
            </w:r>
          </w:p>
        </w:tc>
      </w:tr>
      <w:tr w14:paraId="6996C997">
        <w:tblPrEx>
          <w:tblCellMar>
            <w:top w:w="0" w:type="dxa"/>
            <w:left w:w="108" w:type="dxa"/>
            <w:bottom w:w="0" w:type="dxa"/>
            <w:right w:w="108" w:type="dxa"/>
          </w:tblCellMar>
        </w:tblPrEx>
        <w:trPr>
          <w:trHeight w:val="285" w:hRule="atLeast"/>
        </w:trPr>
        <w:tc>
          <w:tcPr>
            <w:tcW w:w="1966" w:type="dxa"/>
            <w:vMerge w:val="continue"/>
            <w:tcBorders>
              <w:top w:val="single" w:color="auto" w:sz="4" w:space="0"/>
              <w:left w:val="single" w:color="auto" w:sz="4" w:space="0"/>
              <w:bottom w:val="single" w:color="auto" w:sz="4" w:space="0"/>
              <w:right w:val="single" w:color="auto" w:sz="4" w:space="0"/>
            </w:tcBorders>
            <w:noWrap w:val="0"/>
            <w:vAlign w:val="center"/>
          </w:tcPr>
          <w:p w14:paraId="243A0CC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251F61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8.落实招标单位赋予的其他安全护卫和秩序维护服务工作。</w:t>
            </w:r>
          </w:p>
        </w:tc>
      </w:tr>
      <w:tr w14:paraId="6A0BCF2E">
        <w:tblPrEx>
          <w:tblCellMar>
            <w:top w:w="0" w:type="dxa"/>
            <w:left w:w="108" w:type="dxa"/>
            <w:bottom w:w="0" w:type="dxa"/>
            <w:right w:w="108" w:type="dxa"/>
          </w:tblCellMar>
        </w:tblPrEx>
        <w:trPr>
          <w:trHeight w:val="1500" w:hRule="atLeast"/>
        </w:trPr>
        <w:tc>
          <w:tcPr>
            <w:tcW w:w="1966" w:type="dxa"/>
            <w:vMerge w:val="restart"/>
            <w:tcBorders>
              <w:top w:val="nil"/>
              <w:left w:val="single" w:color="auto" w:sz="4" w:space="0"/>
              <w:bottom w:val="single" w:color="auto" w:sz="4" w:space="0"/>
              <w:right w:val="single" w:color="auto" w:sz="4" w:space="0"/>
            </w:tcBorders>
            <w:noWrap/>
            <w:vAlign w:val="center"/>
          </w:tcPr>
          <w:p w14:paraId="1A5E0172">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人员标准</w:t>
            </w:r>
          </w:p>
        </w:tc>
        <w:tc>
          <w:tcPr>
            <w:tcW w:w="7957" w:type="dxa"/>
            <w:tcBorders>
              <w:top w:val="nil"/>
              <w:left w:val="nil"/>
              <w:bottom w:val="single" w:color="auto" w:sz="4" w:space="0"/>
              <w:right w:val="single" w:color="auto" w:sz="4" w:space="0"/>
            </w:tcBorders>
            <w:noWrap w:val="0"/>
            <w:vAlign w:val="bottom"/>
          </w:tcPr>
          <w:p w14:paraId="0E65812C">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1.身体条件：身体健康，四肢健全、头脑灵活，体型中等，面貌、脾气平和，视力（含矫正）需在1.0以上，形象气质佳，无纹身，无传染疾病，无语言及行动障碍，所有人员面貌与年龄基本相符，各岗位具体要求如下：</w:t>
            </w:r>
          </w:p>
          <w:p w14:paraId="20FCA225">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en-US" w:eastAsia="zh-CN"/>
              </w:rPr>
              <w:t>安全综合主管1名</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限男性</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rPr>
              <w:t>：年龄18至</w:t>
            </w:r>
            <w:r>
              <w:rPr>
                <w:rFonts w:hint="eastAsia" w:ascii="方正仿宋_GBK" w:hAnsi="方正仿宋_GBK" w:eastAsia="方正仿宋_GBK" w:cs="方正仿宋_GBK"/>
                <w:sz w:val="21"/>
                <w:szCs w:val="21"/>
                <w:highlight w:val="none"/>
                <w:lang w:val="en-US" w:eastAsia="zh-CN"/>
              </w:rPr>
              <w:t>55</w:t>
            </w:r>
            <w:r>
              <w:rPr>
                <w:rFonts w:hint="eastAsia" w:ascii="方正仿宋_GBK" w:hAnsi="方正仿宋_GBK" w:eastAsia="方正仿宋_GBK" w:cs="方正仿宋_GBK"/>
                <w:sz w:val="21"/>
                <w:szCs w:val="21"/>
                <w:highlight w:val="none"/>
              </w:rPr>
              <w:t>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包含55周岁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，男性身高1.7</w:t>
            </w:r>
            <w:r>
              <w:rPr>
                <w:rFonts w:hint="eastAsia" w:ascii="方正仿宋_GBK" w:hAnsi="方正仿宋_GBK" w:eastAsia="方正仿宋_GBK" w:cs="方正仿宋_GBK"/>
                <w:sz w:val="21"/>
                <w:szCs w:val="21"/>
                <w:highlight w:val="none"/>
                <w:lang w:val="en-US" w:eastAsia="zh-CN"/>
              </w:rPr>
              <w:t>0</w:t>
            </w:r>
            <w:r>
              <w:rPr>
                <w:rFonts w:hint="eastAsia" w:ascii="方正仿宋_GBK" w:hAnsi="方正仿宋_GBK" w:eastAsia="方正仿宋_GBK" w:cs="方正仿宋_GBK"/>
                <w:sz w:val="21"/>
                <w:szCs w:val="21"/>
                <w:highlight w:val="none"/>
              </w:rPr>
              <w:t>米以</w:t>
            </w:r>
            <w:r>
              <w:rPr>
                <w:rFonts w:hint="eastAsia" w:ascii="方正仿宋_GBK" w:hAnsi="方正仿宋_GBK" w:eastAsia="方正仿宋_GBK" w:cs="方正仿宋_GBK"/>
                <w:sz w:val="21"/>
                <w:szCs w:val="21"/>
                <w:highlight w:val="none"/>
                <w:lang w:val="en-US" w:eastAsia="zh-CN"/>
              </w:rPr>
              <w:t>上</w:t>
            </w:r>
            <w:r>
              <w:rPr>
                <w:rFonts w:hint="eastAsia" w:ascii="方正仿宋_GBK" w:hAnsi="方正仿宋_GBK" w:eastAsia="方正仿宋_GBK" w:cs="方正仿宋_GBK"/>
                <w:sz w:val="21"/>
                <w:szCs w:val="21"/>
                <w:highlight w:val="none"/>
              </w:rPr>
              <w:t>。</w:t>
            </w:r>
          </w:p>
          <w:p w14:paraId="3CEF84C6">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en-US" w:eastAsia="zh-CN"/>
              </w:rPr>
              <w:t>秩序队员3名</w:t>
            </w:r>
            <w:r>
              <w:rPr>
                <w:rFonts w:hint="eastAsia" w:ascii="方正仿宋_GBK" w:hAnsi="方正仿宋_GBK" w:eastAsia="方正仿宋_GBK" w:cs="方正仿宋_GBK"/>
                <w:sz w:val="21"/>
                <w:szCs w:val="21"/>
                <w:highlight w:val="none"/>
              </w:rPr>
              <w:t>：男性年龄 18 至 58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，身高 1.70 米以上，女性年龄 18-45岁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包含45周岁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，身高 1.60 米以上，初中及以上学历，具有相关工作经验。</w:t>
            </w:r>
          </w:p>
          <w:p w14:paraId="7BCD17CE">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en-US" w:eastAsia="zh-CN"/>
              </w:rPr>
              <w:t>中控室</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限男性</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lang w:val="en-US" w:eastAsia="zh-CN"/>
              </w:rPr>
              <w:t>4名</w:t>
            </w:r>
            <w:r>
              <w:rPr>
                <w:rFonts w:hint="eastAsia" w:ascii="方正仿宋_GBK" w:hAnsi="方正仿宋_GBK" w:eastAsia="方正仿宋_GBK" w:cs="方正仿宋_GBK"/>
                <w:sz w:val="21"/>
                <w:szCs w:val="21"/>
                <w:highlight w:val="none"/>
              </w:rPr>
              <w:t>：年龄18至</w:t>
            </w:r>
            <w:r>
              <w:rPr>
                <w:rFonts w:hint="eastAsia" w:ascii="方正仿宋_GBK" w:hAnsi="方正仿宋_GBK" w:eastAsia="方正仿宋_GBK" w:cs="方正仿宋_GBK"/>
                <w:sz w:val="21"/>
                <w:szCs w:val="21"/>
                <w:highlight w:val="none"/>
                <w:lang w:val="en-US" w:eastAsia="zh-CN"/>
              </w:rPr>
              <w:t>58</w:t>
            </w:r>
            <w:r>
              <w:rPr>
                <w:rFonts w:hint="eastAsia" w:ascii="方正仿宋_GBK" w:hAnsi="方正仿宋_GBK" w:eastAsia="方正仿宋_GBK" w:cs="方正仿宋_GBK"/>
                <w:sz w:val="21"/>
                <w:szCs w:val="21"/>
                <w:highlight w:val="none"/>
              </w:rPr>
              <w:t>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包含58周岁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，身高1.70米以上</w:t>
            </w:r>
          </w:p>
          <w:p w14:paraId="08357304">
            <w:pPr>
              <w:spacing w:line="240" w:lineRule="auto"/>
              <w:ind w:firstLine="0" w:firstLineChars="0"/>
              <w:rPr>
                <w:rFonts w:hint="eastAsia" w:ascii="方正仿宋_GBK" w:hAnsi="方正仿宋_GBK" w:eastAsia="方正仿宋_GBK" w:cs="方正仿宋_GBK"/>
                <w:sz w:val="21"/>
                <w:szCs w:val="21"/>
                <w:highlight w:val="yellow"/>
                <w:lang w:val="en-US" w:eastAsia="zh-CN"/>
              </w:rPr>
            </w:pPr>
            <w:r>
              <w:rPr>
                <w:rFonts w:hint="eastAsia" w:ascii="方正仿宋_GBK" w:hAnsi="方正仿宋_GBK" w:eastAsia="方正仿宋_GBK" w:cs="方正仿宋_GBK"/>
                <w:sz w:val="21"/>
                <w:szCs w:val="21"/>
                <w:highlight w:val="none"/>
              </w:rPr>
              <w:t>形象岗</w:t>
            </w:r>
            <w:r>
              <w:rPr>
                <w:rFonts w:hint="eastAsia" w:ascii="方正仿宋_GBK" w:hAnsi="方正仿宋_GBK" w:eastAsia="方正仿宋_GBK" w:cs="方正仿宋_GBK"/>
                <w:sz w:val="21"/>
                <w:szCs w:val="21"/>
                <w:highlight w:val="none"/>
                <w:lang w:val="en-US" w:eastAsia="zh-CN"/>
              </w:rPr>
              <w:t>2名</w:t>
            </w:r>
            <w:r>
              <w:rPr>
                <w:rFonts w:hint="eastAsia" w:ascii="方正仿宋_GBK" w:hAnsi="方正仿宋_GBK" w:eastAsia="方正仿宋_GBK" w:cs="方正仿宋_GBK"/>
                <w:sz w:val="21"/>
                <w:szCs w:val="21"/>
                <w:highlight w:val="none"/>
                <w:lang w:eastAsia="zh-CN"/>
              </w:rPr>
              <w:t>：</w:t>
            </w:r>
            <w:r>
              <w:rPr>
                <w:rFonts w:hint="eastAsia" w:ascii="方正仿宋_GBK" w:hAnsi="方正仿宋_GBK" w:eastAsia="方正仿宋_GBK" w:cs="方正仿宋_GBK"/>
                <w:sz w:val="21"/>
                <w:szCs w:val="21"/>
                <w:highlight w:val="none"/>
              </w:rPr>
              <w:t>年龄 18 至 40 岁</w:t>
            </w:r>
            <w:r>
              <w:rPr>
                <w:rFonts w:hint="eastAsia" w:ascii="宋体" w:hAnsi="宋体" w:cs="方正仿宋_GBK"/>
                <w:sz w:val="21"/>
                <w:szCs w:val="21"/>
                <w:lang w:eastAsia="zh-CN" w:bidi="ar"/>
              </w:rPr>
              <w:t>（</w:t>
            </w:r>
            <w:r>
              <w:rPr>
                <w:rFonts w:hint="eastAsia" w:ascii="宋体" w:hAnsi="宋体" w:cs="方正仿宋_GBK"/>
                <w:sz w:val="21"/>
                <w:szCs w:val="21"/>
                <w:lang w:val="en-US" w:eastAsia="zh-CN" w:bidi="ar"/>
              </w:rPr>
              <w:t>包含40周岁</w:t>
            </w:r>
            <w:r>
              <w:rPr>
                <w:rFonts w:hint="eastAsia" w:ascii="宋体" w:hAnsi="宋体" w:cs="方正仿宋_GBK"/>
                <w:sz w:val="21"/>
                <w:szCs w:val="21"/>
                <w:lang w:eastAsia="zh-CN" w:bidi="ar"/>
              </w:rPr>
              <w:t>）</w:t>
            </w:r>
            <w:r>
              <w:rPr>
                <w:rFonts w:hint="eastAsia" w:ascii="方正仿宋_GBK" w:hAnsi="方正仿宋_GBK" w:eastAsia="方正仿宋_GBK" w:cs="方正仿宋_GBK"/>
                <w:sz w:val="21"/>
                <w:szCs w:val="21"/>
                <w:highlight w:val="none"/>
              </w:rPr>
              <w:t>，高中及以上学历，男性身高 1.75 米以上，女性身高1.65米以上，具有相关工作经验</w:t>
            </w:r>
          </w:p>
          <w:p w14:paraId="202EF364">
            <w:pPr>
              <w:spacing w:line="240" w:lineRule="auto"/>
              <w:ind w:firstLine="0" w:firstLineChars="0"/>
              <w:rPr>
                <w:rFonts w:hint="eastAsia" w:ascii="方正仿宋_GBK" w:hAnsi="方正仿宋_GBK" w:eastAsia="方正仿宋_GBK" w:cs="方正仿宋_GBK"/>
                <w:b/>
                <w:sz w:val="21"/>
                <w:szCs w:val="21"/>
                <w:highlight w:val="none"/>
              </w:rPr>
            </w:pPr>
            <w:r>
              <w:rPr>
                <w:rFonts w:hint="eastAsia" w:ascii="宋体" w:hAnsi="宋体" w:cs="方正仿宋_GBK"/>
                <w:sz w:val="21"/>
                <w:szCs w:val="21"/>
                <w:lang w:bidi="ar"/>
              </w:rPr>
              <w:t>特别说明：关于本项目</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文件中年龄的相关表述，全部按照此例进行计算年龄，例：</w:t>
            </w:r>
            <w:r>
              <w:rPr>
                <w:rFonts w:hint="eastAsia" w:ascii="宋体" w:hAnsi="宋体" w:cs="方正仿宋_GBK"/>
                <w:sz w:val="21"/>
                <w:szCs w:val="21"/>
                <w:lang w:val="en-US" w:eastAsia="zh-CN" w:bidi="ar"/>
              </w:rPr>
              <w:t>比选</w:t>
            </w:r>
            <w:r>
              <w:rPr>
                <w:rFonts w:hint="eastAsia" w:ascii="宋体" w:hAnsi="宋体" w:cs="方正仿宋_GBK"/>
                <w:sz w:val="21"/>
                <w:szCs w:val="21"/>
                <w:lang w:bidi="ar"/>
              </w:rPr>
              <w:t>文件中要求人员为18-60岁（含60周岁），若</w:t>
            </w:r>
            <w:r>
              <w:rPr>
                <w:rFonts w:hint="eastAsia" w:ascii="宋体" w:hAnsi="宋体" w:cs="方正仿宋_GBK"/>
                <w:sz w:val="21"/>
                <w:szCs w:val="21"/>
                <w:lang w:val="en-US" w:eastAsia="zh-CN" w:bidi="ar"/>
              </w:rPr>
              <w:t>竞选人</w:t>
            </w:r>
            <w:r>
              <w:rPr>
                <w:rFonts w:hint="eastAsia" w:ascii="宋体" w:hAnsi="宋体" w:cs="方正仿宋_GBK"/>
                <w:sz w:val="21"/>
                <w:szCs w:val="21"/>
                <w:lang w:bidi="ar"/>
              </w:rPr>
              <w:t>拟派人员为60岁零9个月，则均属于60周岁范畴。</w:t>
            </w:r>
          </w:p>
          <w:p w14:paraId="692EC87D">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b/>
                <w:sz w:val="21"/>
                <w:szCs w:val="21"/>
                <w:highlight w:val="none"/>
              </w:rPr>
              <w:t>(此为最低标准，如外委标准有调整请在此处调整)</w:t>
            </w:r>
          </w:p>
        </w:tc>
      </w:tr>
      <w:tr w14:paraId="7DA1DA89">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25810D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5F7138F">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2.政治素质：遵纪守法、无违法犯罪记录。有良好的职业道德素养、尊重上级、服从安排、听从指挥；爱岗敬业，恪尽职守，文明执勤，礼貌待人。</w:t>
            </w:r>
          </w:p>
        </w:tc>
      </w:tr>
      <w:tr w14:paraId="39F9CF3F">
        <w:tblPrEx>
          <w:tblCellMar>
            <w:top w:w="0" w:type="dxa"/>
            <w:left w:w="108" w:type="dxa"/>
            <w:bottom w:w="0" w:type="dxa"/>
            <w:right w:w="108" w:type="dxa"/>
          </w:tblCellMar>
        </w:tblPrEx>
        <w:trPr>
          <w:trHeight w:val="557"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FA6217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F86F4DC">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3.业务技能要求：</w:t>
            </w:r>
            <w:r>
              <w:rPr>
                <w:rFonts w:hint="eastAsia" w:ascii="方正仿宋_GBK" w:hAnsi="方正仿宋_GBK" w:eastAsia="方正仿宋_GBK" w:cs="方正仿宋_GBK"/>
                <w:sz w:val="21"/>
                <w:szCs w:val="21"/>
                <w:highlight w:val="none"/>
                <w:lang w:val="en-US" w:eastAsia="zh-CN"/>
              </w:rPr>
              <w:t>中控</w:t>
            </w:r>
            <w:r>
              <w:rPr>
                <w:rFonts w:hint="eastAsia" w:ascii="方正仿宋_GBK" w:hAnsi="方正仿宋_GBK" w:eastAsia="方正仿宋_GBK" w:cs="方正仿宋_GBK"/>
                <w:sz w:val="21"/>
                <w:szCs w:val="21"/>
                <w:highlight w:val="none"/>
              </w:rPr>
              <w:t>室</w:t>
            </w:r>
            <w:r>
              <w:rPr>
                <w:rFonts w:hint="eastAsia" w:ascii="方正仿宋_GBK" w:hAnsi="方正仿宋_GBK" w:eastAsia="方正仿宋_GBK" w:cs="方正仿宋_GBK"/>
                <w:sz w:val="21"/>
                <w:szCs w:val="21"/>
                <w:highlight w:val="none"/>
                <w:lang w:val="en-US" w:eastAsia="zh-CN"/>
              </w:rPr>
              <w:t>秩序人员</w:t>
            </w:r>
            <w:r>
              <w:rPr>
                <w:rFonts w:hint="eastAsia" w:ascii="方正仿宋_GBK" w:hAnsi="方正仿宋_GBK" w:eastAsia="方正仿宋_GBK" w:cs="方正仿宋_GBK"/>
                <w:sz w:val="21"/>
                <w:szCs w:val="21"/>
                <w:highlight w:val="none"/>
              </w:rPr>
              <w:t>经过急救、安防、消防相关专业知识技能培训，具备良好的处理突发事件能力，具备行业及相关岗位一定工作经验。</w:t>
            </w:r>
            <w:r>
              <w:rPr>
                <w:rFonts w:hint="eastAsia" w:ascii="方正仿宋_GBK" w:hAnsi="方正仿宋_GBK" w:eastAsia="方正仿宋_GBK" w:cs="方正仿宋_GBK"/>
                <w:sz w:val="21"/>
                <w:szCs w:val="21"/>
                <w:highlight w:val="none"/>
                <w:lang w:val="en-US" w:eastAsia="zh-CN"/>
              </w:rPr>
              <w:t>安全综合主管</w:t>
            </w:r>
            <w:r>
              <w:rPr>
                <w:rFonts w:hint="eastAsia" w:ascii="方正仿宋_GBK" w:hAnsi="方正仿宋_GBK" w:eastAsia="方正仿宋_GBK" w:cs="方正仿宋_GBK"/>
                <w:sz w:val="21"/>
                <w:szCs w:val="21"/>
                <w:highlight w:val="none"/>
              </w:rPr>
              <w:t>须具备</w:t>
            </w:r>
            <w:r>
              <w:rPr>
                <w:rFonts w:hint="eastAsia" w:ascii="方正仿宋_GBK" w:hAnsi="方正仿宋_GBK" w:eastAsia="方正仿宋_GBK" w:cs="方正仿宋_GBK"/>
                <w:sz w:val="21"/>
                <w:szCs w:val="21"/>
                <w:highlight w:val="none"/>
                <w:lang w:val="en-US" w:eastAsia="zh-CN"/>
              </w:rPr>
              <w:t>1</w:t>
            </w:r>
            <w:r>
              <w:rPr>
                <w:rFonts w:hint="eastAsia" w:ascii="方正仿宋_GBK" w:hAnsi="方正仿宋_GBK" w:eastAsia="方正仿宋_GBK" w:cs="方正仿宋_GBK"/>
                <w:sz w:val="21"/>
                <w:szCs w:val="21"/>
                <w:highlight w:val="none"/>
              </w:rPr>
              <w:t>年以上同行业工作经验，服务意识强，团队业务标杆，能培训他人、纠正他人、带动他人、引导他人、鼓舞他人。</w:t>
            </w:r>
            <w:r>
              <w:rPr>
                <w:rFonts w:hint="eastAsia" w:ascii="方正仿宋_GBK" w:hAnsi="方正仿宋_GBK" w:eastAsia="方正仿宋_GBK" w:cs="方正仿宋_GBK"/>
                <w:sz w:val="21"/>
                <w:szCs w:val="21"/>
                <w:highlight w:val="none"/>
                <w:lang w:val="en-US" w:eastAsia="zh-CN"/>
              </w:rPr>
              <w:t>管理人员</w:t>
            </w:r>
            <w:r>
              <w:rPr>
                <w:rFonts w:hint="eastAsia" w:ascii="方正仿宋_GBK" w:hAnsi="方正仿宋_GBK" w:eastAsia="方正仿宋_GBK" w:cs="方正仿宋_GBK"/>
                <w:sz w:val="21"/>
                <w:szCs w:val="21"/>
                <w:highlight w:val="none"/>
              </w:rPr>
              <w:t>须熟悉常用办公软件，有大局观、团队协作和管理能力，有使命感、有责任心，有魄力、敢担当。善于培训他人、带动他人、鼓舞他人、造就他人，善于观察、总结，有风险预判能力和独立处理应急事件的能力，不弄虚作假、不徇私舞弊，公平公正、善待员工。</w:t>
            </w:r>
          </w:p>
        </w:tc>
      </w:tr>
      <w:tr w14:paraId="0E6DF83A">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58B756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FDE2B85">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4.文化条件：</w:t>
            </w:r>
            <w:r>
              <w:rPr>
                <w:rFonts w:hint="eastAsia" w:ascii="方正仿宋_GBK" w:hAnsi="方正仿宋_GBK" w:eastAsia="方正仿宋_GBK" w:cs="方正仿宋_GBK"/>
                <w:sz w:val="21"/>
                <w:szCs w:val="21"/>
                <w:highlight w:val="none"/>
                <w:lang w:val="en-US" w:eastAsia="zh-CN"/>
              </w:rPr>
              <w:t>安全综合</w:t>
            </w:r>
            <w:r>
              <w:rPr>
                <w:rFonts w:hint="eastAsia" w:ascii="方正仿宋_GBK" w:hAnsi="方正仿宋_GBK" w:eastAsia="方正仿宋_GBK" w:cs="方正仿宋_GBK"/>
                <w:sz w:val="21"/>
                <w:szCs w:val="21"/>
                <w:highlight w:val="none"/>
              </w:rPr>
              <w:t>主管（含）及以上人员，语言表达、文字书写、沟通协调能力较好。</w:t>
            </w:r>
          </w:p>
        </w:tc>
      </w:tr>
      <w:tr w14:paraId="6549E746">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F5A241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BFF5F3F">
            <w:pPr>
              <w:spacing w:line="240" w:lineRule="auto"/>
              <w:ind w:firstLine="0" w:firstLineChars="0"/>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5.</w:t>
            </w:r>
            <w:r>
              <w:rPr>
                <w:rFonts w:hint="eastAsia" w:ascii="方正仿宋_GBK" w:hAnsi="方正仿宋_GBK" w:eastAsia="方正仿宋_GBK" w:cs="方正仿宋_GBK"/>
                <w:sz w:val="21"/>
                <w:szCs w:val="21"/>
                <w:highlight w:val="none"/>
                <w:lang w:eastAsia="zh-CN"/>
              </w:rPr>
              <w:t>中</w:t>
            </w:r>
            <w:r>
              <w:rPr>
                <w:rFonts w:hint="eastAsia" w:ascii="方正仿宋_GBK" w:hAnsi="方正仿宋_GBK" w:eastAsia="方正仿宋_GBK" w:cs="方正仿宋_GBK"/>
                <w:sz w:val="21"/>
                <w:szCs w:val="21"/>
                <w:highlight w:val="none"/>
                <w:lang w:val="en-US" w:eastAsia="zh-CN"/>
              </w:rPr>
              <w:t>选</w:t>
            </w:r>
            <w:r>
              <w:rPr>
                <w:rFonts w:hint="eastAsia" w:ascii="方正仿宋_GBK" w:hAnsi="方正仿宋_GBK" w:eastAsia="方正仿宋_GBK" w:cs="方正仿宋_GBK"/>
                <w:sz w:val="21"/>
                <w:szCs w:val="21"/>
                <w:highlight w:val="none"/>
                <w:lang w:eastAsia="zh-CN"/>
              </w:rPr>
              <w:t>人</w:t>
            </w:r>
            <w:r>
              <w:rPr>
                <w:rFonts w:hint="eastAsia" w:ascii="方正仿宋_GBK" w:hAnsi="方正仿宋_GBK" w:eastAsia="方正仿宋_GBK" w:cs="方正仿宋_GBK"/>
                <w:sz w:val="21"/>
                <w:szCs w:val="21"/>
                <w:highlight w:val="none"/>
              </w:rPr>
              <w:t>安排至</w:t>
            </w:r>
            <w:r>
              <w:rPr>
                <w:rFonts w:hint="eastAsia" w:ascii="方正仿宋_GBK" w:hAnsi="方正仿宋_GBK" w:eastAsia="方正仿宋_GBK" w:cs="方正仿宋_GBK"/>
                <w:sz w:val="21"/>
                <w:szCs w:val="21"/>
                <w:highlight w:val="none"/>
                <w:lang w:val="en-US" w:eastAsia="zh-CN"/>
              </w:rPr>
              <w:t>比选</w:t>
            </w:r>
            <w:r>
              <w:rPr>
                <w:rFonts w:hint="eastAsia" w:ascii="方正仿宋_GBK" w:hAnsi="方正仿宋_GBK" w:eastAsia="方正仿宋_GBK" w:cs="方正仿宋_GBK"/>
                <w:sz w:val="21"/>
                <w:szCs w:val="21"/>
                <w:highlight w:val="none"/>
                <w:lang w:eastAsia="zh-CN"/>
              </w:rPr>
              <w:t>人</w:t>
            </w:r>
            <w:r>
              <w:rPr>
                <w:rFonts w:hint="eastAsia" w:ascii="方正仿宋_GBK" w:hAnsi="方正仿宋_GBK" w:eastAsia="方正仿宋_GBK" w:cs="方正仿宋_GBK"/>
                <w:sz w:val="21"/>
                <w:szCs w:val="21"/>
                <w:highlight w:val="none"/>
              </w:rPr>
              <w:t>现场服务人员至少50%在</w:t>
            </w:r>
            <w:r>
              <w:rPr>
                <w:rFonts w:hint="eastAsia" w:ascii="方正仿宋_GBK" w:hAnsi="方正仿宋_GBK" w:eastAsia="方正仿宋_GBK" w:cs="方正仿宋_GBK"/>
                <w:sz w:val="21"/>
                <w:szCs w:val="21"/>
                <w:highlight w:val="none"/>
                <w:lang w:eastAsia="zh-CN"/>
              </w:rPr>
              <w:t>中</w:t>
            </w:r>
            <w:r>
              <w:rPr>
                <w:rFonts w:hint="eastAsia" w:ascii="方正仿宋_GBK" w:hAnsi="方正仿宋_GBK" w:eastAsia="方正仿宋_GBK" w:cs="方正仿宋_GBK"/>
                <w:sz w:val="21"/>
                <w:szCs w:val="21"/>
                <w:highlight w:val="none"/>
                <w:lang w:val="en-US" w:eastAsia="zh-CN"/>
              </w:rPr>
              <w:t>选</w:t>
            </w:r>
            <w:r>
              <w:rPr>
                <w:rFonts w:hint="eastAsia" w:ascii="方正仿宋_GBK" w:hAnsi="方正仿宋_GBK" w:eastAsia="方正仿宋_GBK" w:cs="方正仿宋_GBK"/>
                <w:sz w:val="21"/>
                <w:szCs w:val="21"/>
                <w:highlight w:val="none"/>
                <w:lang w:eastAsia="zh-CN"/>
              </w:rPr>
              <w:t>人</w:t>
            </w:r>
            <w:r>
              <w:rPr>
                <w:rFonts w:hint="eastAsia" w:ascii="方正仿宋_GBK" w:hAnsi="方正仿宋_GBK" w:eastAsia="方正仿宋_GBK" w:cs="方正仿宋_GBK"/>
                <w:sz w:val="21"/>
                <w:szCs w:val="21"/>
                <w:highlight w:val="none"/>
              </w:rPr>
              <w:t>连续司龄6个月以上，女员工比例不超过团队总人数的30%。</w:t>
            </w:r>
          </w:p>
        </w:tc>
      </w:tr>
      <w:tr w14:paraId="10B55CA8">
        <w:tblPrEx>
          <w:tblCellMar>
            <w:top w:w="0" w:type="dxa"/>
            <w:left w:w="108" w:type="dxa"/>
            <w:bottom w:w="0" w:type="dxa"/>
            <w:right w:w="108" w:type="dxa"/>
          </w:tblCellMar>
        </w:tblPrEx>
        <w:trPr>
          <w:trHeight w:val="2565" w:hRule="atLeast"/>
        </w:trPr>
        <w:tc>
          <w:tcPr>
            <w:tcW w:w="1966" w:type="dxa"/>
            <w:vMerge w:val="restart"/>
            <w:tcBorders>
              <w:top w:val="nil"/>
              <w:left w:val="single" w:color="auto" w:sz="4" w:space="0"/>
              <w:bottom w:val="single" w:color="auto" w:sz="4" w:space="0"/>
              <w:right w:val="single" w:color="auto" w:sz="4" w:space="0"/>
            </w:tcBorders>
            <w:noWrap/>
            <w:vAlign w:val="center"/>
          </w:tcPr>
          <w:p w14:paraId="4BF32732">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岗位主要职责要求</w:t>
            </w:r>
          </w:p>
        </w:tc>
        <w:tc>
          <w:tcPr>
            <w:tcW w:w="7957" w:type="dxa"/>
            <w:tcBorders>
              <w:top w:val="nil"/>
              <w:left w:val="nil"/>
              <w:bottom w:val="single" w:color="auto" w:sz="4" w:space="0"/>
              <w:right w:val="single" w:color="auto" w:sz="4" w:space="0"/>
            </w:tcBorders>
            <w:noWrap w:val="0"/>
            <w:vAlign w:val="bottom"/>
          </w:tcPr>
          <w:p w14:paraId="334060D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1.岗位基本职责要求：</w:t>
            </w:r>
          </w:p>
          <w:p w14:paraId="7C5A645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在排定的班次和岗位按要求当值，处理一切当值岗位发生的事件及报告上级，保障当值所在地人员及财产的安全。</w:t>
            </w:r>
          </w:p>
          <w:p w14:paraId="73A5878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禁止未核实清楚的人士进入服务区域，并做到礼貌周到、不卑不亢。</w:t>
            </w:r>
          </w:p>
          <w:p w14:paraId="62CF534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发现安全隐患或紧急情况时，及时提醒、制止、防范、报告上级，以及保护现场。</w:t>
            </w:r>
          </w:p>
          <w:p w14:paraId="03DCF95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积极参与岗位知识学习，努力提高工作素养。</w:t>
            </w:r>
          </w:p>
          <w:p w14:paraId="314B502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如遇重大活动或重大事故、险情，需要时所属员工应延时工作。特殊情况下，休息员工应无条件接受</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要求加班，直至任务圆满完成。</w:t>
            </w:r>
          </w:p>
        </w:tc>
      </w:tr>
      <w:tr w14:paraId="00CDF7D4">
        <w:tblPrEx>
          <w:tblCellMar>
            <w:top w:w="0" w:type="dxa"/>
            <w:left w:w="108" w:type="dxa"/>
            <w:bottom w:w="0" w:type="dxa"/>
            <w:right w:w="108" w:type="dxa"/>
          </w:tblCellMar>
        </w:tblPrEx>
        <w:trPr>
          <w:trHeight w:val="285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143E1D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EDB55C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2.出入口（含收费）岗位职责要求：</w:t>
            </w:r>
          </w:p>
          <w:p w14:paraId="7C42AFC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负责出入口及邻近周边区域的安全巡防、人员及交通秩序维护、进出人员及物资盘查与登记、咨询接待等管理服务，并做好记录与特殊情况报告；</w:t>
            </w:r>
          </w:p>
          <w:p w14:paraId="770909B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负责进出车辆的盘查登记及按招标方规定及流程要求进行临时车辆的收费管理工作；</w:t>
            </w:r>
          </w:p>
          <w:p w14:paraId="356942D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负责出入口及周边区域的各类突发、紧急情况处置，并及时跟进处理与报告；</w:t>
            </w:r>
          </w:p>
          <w:p w14:paraId="372B84B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负责出入口及周边区域整体环境维护，禁止摆摊设点（经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同意许可除外），维护现场清洁卫生；</w:t>
            </w:r>
          </w:p>
          <w:p w14:paraId="73FB65A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负责与各巡逻岗、监控岗及其它门岗互通信息，形成联防。</w:t>
            </w:r>
          </w:p>
          <w:p w14:paraId="4161971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安排的其他工作事务。</w:t>
            </w:r>
          </w:p>
        </w:tc>
      </w:tr>
      <w:tr w14:paraId="2911E045">
        <w:tblPrEx>
          <w:tblCellMar>
            <w:top w:w="0" w:type="dxa"/>
            <w:left w:w="108" w:type="dxa"/>
            <w:bottom w:w="0" w:type="dxa"/>
            <w:right w:w="108" w:type="dxa"/>
          </w:tblCellMar>
        </w:tblPrEx>
        <w:trPr>
          <w:trHeight w:val="197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27044BF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6EE765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3.巡逻岗位职责要求：</w:t>
            </w:r>
          </w:p>
          <w:p w14:paraId="6394D6F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负责按照规定巡逻路线及频次开展巡逻，及时发现服务区域内存在的各类问题、隐患，做好跟进处理及记录上报；</w:t>
            </w:r>
          </w:p>
          <w:p w14:paraId="2ED6525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负责维护服务区域内公共秩序和交通秩序，及时制止破坏偷盗财物、损害业主人身财产安全利益等行为；</w:t>
            </w:r>
          </w:p>
          <w:p w14:paraId="610C91E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负责服务区域内各类报警核查、紧急求助以及各类突发事件的处置及报告；</w:t>
            </w:r>
          </w:p>
          <w:p w14:paraId="78E0AD1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负责服务区域内的装修、空置房巡查以及各类消防设施器材的巡查维护；</w:t>
            </w:r>
          </w:p>
          <w:p w14:paraId="1CD12AB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负责为服务区域内客户提供经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同意许可的其他临时服务。</w:t>
            </w:r>
          </w:p>
          <w:p w14:paraId="2157A48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安排的其他工作事务。</w:t>
            </w:r>
          </w:p>
        </w:tc>
      </w:tr>
      <w:tr w14:paraId="0D958F90">
        <w:tblPrEx>
          <w:tblCellMar>
            <w:top w:w="0" w:type="dxa"/>
            <w:left w:w="108" w:type="dxa"/>
            <w:bottom w:w="0" w:type="dxa"/>
            <w:right w:w="108" w:type="dxa"/>
          </w:tblCellMar>
        </w:tblPrEx>
        <w:trPr>
          <w:trHeight w:val="83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6ACE4F8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1D3540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4.中控室岗位职责要求：</w:t>
            </w:r>
          </w:p>
          <w:p w14:paraId="02944B1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负责中控室内务整理，保证内部环境卫生及物品摆放整洁有序；</w:t>
            </w:r>
          </w:p>
          <w:p w14:paraId="08D664D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负责服务区域内各重点部位的实时监控；</w:t>
            </w:r>
          </w:p>
          <w:p w14:paraId="2A0A16E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负责对各类系统警报的人员核警通知和跟进处置；</w:t>
            </w:r>
          </w:p>
          <w:p w14:paraId="776A19E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负责各类报警、紧急求救、客户报事等电话的接听、记录，并跟进处理；</w:t>
            </w:r>
          </w:p>
          <w:p w14:paraId="5B0C649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负责中控室各类设备运行、故障、异常情况的发现、上报和跟进处理，做好设备的日常管理，配合维保单位对设备的调试维护，确保设备和系统正常运行；</w:t>
            </w:r>
          </w:p>
          <w:p w14:paraId="57BE712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负责视频、消防等数据按规定进行调取、保存、查找；</w:t>
            </w:r>
          </w:p>
          <w:p w14:paraId="0542530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负责按规定做好各类记录并归档，以及负责</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安排的其他工作事务。</w:t>
            </w:r>
          </w:p>
        </w:tc>
      </w:tr>
      <w:tr w14:paraId="26A50C57">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auto" w:sz="4" w:space="0"/>
              <w:right w:val="single" w:color="auto" w:sz="4" w:space="0"/>
            </w:tcBorders>
            <w:noWrap/>
            <w:vAlign w:val="center"/>
          </w:tcPr>
          <w:p w14:paraId="7E82EEE1">
            <w:pPr>
              <w:spacing w:line="240" w:lineRule="auto"/>
              <w:ind w:firstLine="0" w:firstLineChars="0"/>
              <w:jc w:val="center"/>
              <w:rPr>
                <w:rFonts w:hint="eastAsia" w:ascii="方正仿宋_GBK" w:hAnsi="方正仿宋_GBK" w:eastAsia="方正仿宋_GBK" w:cs="方正仿宋_GBK"/>
                <w:sz w:val="21"/>
                <w:szCs w:val="21"/>
              </w:rPr>
            </w:pPr>
          </w:p>
          <w:p w14:paraId="7B8E023E">
            <w:pPr>
              <w:spacing w:line="240" w:lineRule="auto"/>
              <w:ind w:firstLine="0" w:firstLineChars="0"/>
              <w:jc w:val="center"/>
              <w:rPr>
                <w:rFonts w:hint="eastAsia" w:ascii="方正仿宋_GBK" w:hAnsi="方正仿宋_GBK" w:eastAsia="方正仿宋_GBK" w:cs="方正仿宋_GBK"/>
                <w:sz w:val="21"/>
                <w:szCs w:val="21"/>
              </w:rPr>
            </w:pPr>
          </w:p>
          <w:p w14:paraId="35385916">
            <w:pPr>
              <w:spacing w:line="240" w:lineRule="auto"/>
              <w:ind w:firstLine="0" w:firstLineChars="0"/>
              <w:jc w:val="center"/>
              <w:rPr>
                <w:rFonts w:hint="eastAsia" w:ascii="方正仿宋_GBK" w:hAnsi="方正仿宋_GBK" w:eastAsia="方正仿宋_GBK" w:cs="方正仿宋_GBK"/>
                <w:sz w:val="21"/>
                <w:szCs w:val="21"/>
              </w:rPr>
            </w:pPr>
          </w:p>
          <w:p w14:paraId="67F7A26A">
            <w:pPr>
              <w:spacing w:line="240" w:lineRule="auto"/>
              <w:ind w:firstLine="0" w:firstLineChars="0"/>
              <w:jc w:val="center"/>
              <w:rPr>
                <w:rFonts w:hint="eastAsia" w:ascii="方正仿宋_GBK" w:hAnsi="方正仿宋_GBK" w:eastAsia="方正仿宋_GBK" w:cs="方正仿宋_GBK"/>
                <w:sz w:val="21"/>
                <w:szCs w:val="21"/>
              </w:rPr>
            </w:pPr>
          </w:p>
          <w:p w14:paraId="268AF1A3">
            <w:pPr>
              <w:spacing w:line="240" w:lineRule="auto"/>
              <w:ind w:firstLine="0" w:firstLineChars="0"/>
              <w:jc w:val="center"/>
              <w:rPr>
                <w:rFonts w:hint="eastAsia" w:ascii="方正仿宋_GBK" w:hAnsi="方正仿宋_GBK" w:eastAsia="方正仿宋_GBK" w:cs="方正仿宋_GBK"/>
                <w:sz w:val="21"/>
                <w:szCs w:val="21"/>
              </w:rPr>
            </w:pPr>
          </w:p>
          <w:p w14:paraId="13003379">
            <w:pPr>
              <w:spacing w:line="240" w:lineRule="auto"/>
              <w:ind w:firstLine="0" w:firstLineChars="0"/>
              <w:jc w:val="center"/>
              <w:rPr>
                <w:rFonts w:hint="eastAsia" w:ascii="方正仿宋_GBK" w:hAnsi="方正仿宋_GBK" w:eastAsia="方正仿宋_GBK" w:cs="方正仿宋_GBK"/>
                <w:sz w:val="21"/>
                <w:szCs w:val="21"/>
              </w:rPr>
            </w:pPr>
          </w:p>
          <w:p w14:paraId="79736512">
            <w:pPr>
              <w:spacing w:line="240" w:lineRule="auto"/>
              <w:ind w:firstLine="0" w:firstLineChars="0"/>
              <w:jc w:val="center"/>
              <w:rPr>
                <w:rFonts w:hint="eastAsia" w:ascii="方正仿宋_GBK" w:hAnsi="方正仿宋_GBK" w:eastAsia="方正仿宋_GBK" w:cs="方正仿宋_GBK"/>
                <w:sz w:val="21"/>
                <w:szCs w:val="21"/>
              </w:rPr>
            </w:pPr>
          </w:p>
          <w:p w14:paraId="5CDD3B1C">
            <w:pPr>
              <w:spacing w:line="240" w:lineRule="auto"/>
              <w:ind w:firstLine="0" w:firstLineChars="0"/>
              <w:jc w:val="center"/>
              <w:rPr>
                <w:rFonts w:hint="eastAsia" w:ascii="方正仿宋_GBK" w:hAnsi="方正仿宋_GBK" w:eastAsia="方正仿宋_GBK" w:cs="方正仿宋_GBK"/>
                <w:sz w:val="21"/>
                <w:szCs w:val="21"/>
              </w:rPr>
            </w:pPr>
          </w:p>
          <w:p w14:paraId="5AD5B982">
            <w:pPr>
              <w:spacing w:line="240" w:lineRule="auto"/>
              <w:ind w:firstLine="0" w:firstLineChars="0"/>
              <w:jc w:val="center"/>
              <w:rPr>
                <w:rFonts w:hint="eastAsia" w:ascii="方正仿宋_GBK" w:hAnsi="方正仿宋_GBK" w:eastAsia="方正仿宋_GBK" w:cs="方正仿宋_GBK"/>
                <w:sz w:val="21"/>
                <w:szCs w:val="21"/>
              </w:rPr>
            </w:pPr>
          </w:p>
          <w:p w14:paraId="744435D2">
            <w:pPr>
              <w:spacing w:line="240" w:lineRule="auto"/>
              <w:ind w:firstLine="0" w:firstLineChars="0"/>
              <w:jc w:val="center"/>
              <w:rPr>
                <w:rFonts w:hint="eastAsia" w:ascii="方正仿宋_GBK" w:hAnsi="方正仿宋_GBK" w:eastAsia="方正仿宋_GBK" w:cs="方正仿宋_GBK"/>
                <w:sz w:val="21"/>
                <w:szCs w:val="21"/>
              </w:rPr>
            </w:pPr>
          </w:p>
          <w:p w14:paraId="472FABCD">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岗位主要工作内容</w:t>
            </w:r>
          </w:p>
        </w:tc>
        <w:tc>
          <w:tcPr>
            <w:tcW w:w="7957" w:type="dxa"/>
            <w:tcBorders>
              <w:top w:val="nil"/>
              <w:left w:val="nil"/>
              <w:bottom w:val="single" w:color="auto" w:sz="4" w:space="0"/>
              <w:right w:val="single" w:color="auto" w:sz="4" w:space="0"/>
            </w:tcBorders>
            <w:noWrap w:val="0"/>
            <w:vAlign w:val="bottom"/>
          </w:tcPr>
          <w:p w14:paraId="390EC48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1.检查发现服务区域一切不安全因素，包括防火、防盗及其他安全隐患，发现问题马上报告。</w:t>
            </w:r>
          </w:p>
        </w:tc>
      </w:tr>
      <w:tr w14:paraId="3F5858FD">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2D34E5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0FCBDA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2.巡逻岗应根据招标方指定路线进行巡查，每巡查一周后应固定在指定位置待命，如无突发状况不得擅自离开，直至下次巡查开始，巡查频次应满足</w:t>
            </w:r>
            <w:r>
              <w:rPr>
                <w:rFonts w:hint="eastAsia" w:ascii="方正仿宋_GBK" w:hAnsi="方正仿宋_GBK" w:eastAsia="方正仿宋_GBK" w:cs="方正仿宋_GBK"/>
                <w:sz w:val="21"/>
                <w:szCs w:val="21"/>
                <w:lang w:val="en-US" w:eastAsia="zh-CN"/>
              </w:rPr>
              <w:t>比选人</w:t>
            </w:r>
            <w:r>
              <w:rPr>
                <w:rFonts w:hint="eastAsia" w:ascii="方正仿宋_GBK" w:hAnsi="方正仿宋_GBK" w:eastAsia="方正仿宋_GBK" w:cs="方正仿宋_GBK"/>
                <w:sz w:val="21"/>
                <w:szCs w:val="21"/>
              </w:rPr>
              <w:t>要求，发现问题记录并及时上报。</w:t>
            </w:r>
          </w:p>
        </w:tc>
      </w:tr>
      <w:tr w14:paraId="252266DB">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659FAD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2A6716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3.巡查消防设施是否在位、完好有效，有无遮挡、挪用，消防卷帘下方是否有摆放物品；消防通道有无被占用、堵塞或违规使用现象。</w:t>
            </w:r>
          </w:p>
        </w:tc>
      </w:tr>
      <w:tr w14:paraId="3BA91D17">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6D387C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9076F5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4.巡查公区照明、公区摆设等是否完好、摆放适当；各种标识有无损坏、丢失；巡视项目内外绿化植物有无明显的倾倒、倾斜等隐患现象，是否有垃圾杂物。</w:t>
            </w:r>
          </w:p>
        </w:tc>
      </w:tr>
      <w:tr w14:paraId="7729B47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D8F352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9D92966">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5.提醒并制止小孩在公区追逐玩耍、高空抛物等有安全隐患的行为；</w:t>
            </w:r>
          </w:p>
        </w:tc>
      </w:tr>
      <w:tr w14:paraId="745F5A84">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704916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1D3FC9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6.停车场管理员要主动指挥和疏导进出车辆，热情服务，主动检查车辆的安全停放，检查车辆是否关窗锁车，检查车场其他失窃、失火等安全隐患。</w:t>
            </w:r>
          </w:p>
        </w:tc>
      </w:tr>
      <w:tr w14:paraId="6D1E7520">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7EB482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0D220F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7.定期配合</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及其他相关部门进行消防演习，掌握“消防常识”要求，对消防安全隐患、违章违规行为进行报告和处理。</w:t>
            </w:r>
          </w:p>
        </w:tc>
      </w:tr>
      <w:tr w14:paraId="72E156D3">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4D9E632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9B8A79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8.检查重点防火部位，检查消防设施设备是否在位、完好、有效。</w:t>
            </w:r>
          </w:p>
        </w:tc>
      </w:tr>
      <w:tr w14:paraId="680A973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01D609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A88C88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9.检查业主入户门是否完好且上锁。</w:t>
            </w:r>
          </w:p>
        </w:tc>
      </w:tr>
      <w:tr w14:paraId="011DF60E">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077815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B99C9F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10.针对装修房，把好动火安全，特别注意动火人员证件是否备齐，监护人员是否在位，现场是否备有足够灭火器材，禁止在装修现场吸烟，动火手续是否有效。</w:t>
            </w:r>
          </w:p>
        </w:tc>
      </w:tr>
      <w:tr w14:paraId="20DED165">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053A8A2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EA8755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11.禁止外来推销、销售人员、精神病患者、乞丐等进入服务区域，熟悉业主和租户人员情况，有效判断进出人员状况。</w:t>
            </w:r>
          </w:p>
        </w:tc>
      </w:tr>
      <w:tr w14:paraId="657A568D">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24F8562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AF86DE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12.巡逻应遵循“一摸、二闻、三看、四观察”的宗旨，如发现异常情况，立即上报。</w:t>
            </w:r>
          </w:p>
        </w:tc>
      </w:tr>
      <w:tr w14:paraId="7BC6AEC4">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19D521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B6BF7A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13.检查各配电房、电梯机房、泵房、油库设施、空调机房、水电井的门是否保持常闭，上锁。禁止无关人员入内。</w:t>
            </w:r>
          </w:p>
        </w:tc>
      </w:tr>
      <w:tr w14:paraId="5C6ACF73">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3D87EAB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A7E6A0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14.熟悉所有燃气应急阀门、电力总闸、各种手动消防设备和其他所有紧急开关的位置和使用功能，并铭记在心。仔细查看，消除隐患。</w:t>
            </w:r>
          </w:p>
        </w:tc>
      </w:tr>
      <w:tr w14:paraId="60E2EA3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045605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F4904B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15.所有人员、物品及车辆出入必须严格按招标方相关规定执行。</w:t>
            </w:r>
          </w:p>
        </w:tc>
      </w:tr>
      <w:tr w14:paraId="203AC2C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5E27AEF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618555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16.维护交通秩序，指挥和疏导进出车辆、非机动车和行人。</w:t>
            </w:r>
          </w:p>
        </w:tc>
      </w:tr>
      <w:tr w14:paraId="6EBE9CE7">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E4F7F5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106015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17.熟悉项目消防应急预案，遇突发事件及火灾，应在第一时间上报招标方，且迅速组织安保、消防、医疗人员进行疏散、抢救，将事故控制在萌芽状态。</w:t>
            </w:r>
          </w:p>
        </w:tc>
      </w:tr>
      <w:tr w14:paraId="667CFBEA">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4E9E39F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500CB2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18.配合工程人员对监控设施的检查维修。</w:t>
            </w:r>
          </w:p>
        </w:tc>
      </w:tr>
      <w:tr w14:paraId="66B6A567">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7F611EE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1B3738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19.管理好消防中控室的值班管理工作。</w:t>
            </w:r>
          </w:p>
        </w:tc>
      </w:tr>
      <w:tr w14:paraId="075A9F1C">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5402F9E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FFFB9C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20.一旦发现盗窃破坏行为，立即围捕/报告/追查。</w:t>
            </w:r>
          </w:p>
        </w:tc>
      </w:tr>
      <w:tr w14:paraId="7AA83107">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2B4043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59D34B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21.不得擅入业主、租赁户及商铺户内（安全检查例外）。如在夜间发现门未锁现象或紧急情况，应由安全综合主管陪同且2人以上进入检查，同时书面报告给上级及业主。</w:t>
            </w:r>
          </w:p>
        </w:tc>
      </w:tr>
      <w:tr w14:paraId="47387992">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8DEF1B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F5F2D6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22.建立岗位工作日志，作好记录，根据情况做书面报告。</w:t>
            </w:r>
          </w:p>
        </w:tc>
      </w:tr>
      <w:tr w14:paraId="145C599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auto" w:sz="4" w:space="0"/>
              <w:right w:val="single" w:color="auto" w:sz="4" w:space="0"/>
            </w:tcBorders>
            <w:noWrap w:val="0"/>
            <w:vAlign w:val="center"/>
          </w:tcPr>
          <w:p w14:paraId="18AD1F0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65E76B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23.对工作的讲评，会议纪要应逐级上报，并抄送</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w:t>
            </w:r>
          </w:p>
        </w:tc>
      </w:tr>
      <w:tr w14:paraId="1E3015A6">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6B229BF0">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岗位纪律要求</w:t>
            </w:r>
          </w:p>
        </w:tc>
        <w:tc>
          <w:tcPr>
            <w:tcW w:w="7957" w:type="dxa"/>
            <w:tcBorders>
              <w:top w:val="nil"/>
              <w:left w:val="nil"/>
              <w:bottom w:val="single" w:color="auto" w:sz="4" w:space="0"/>
              <w:right w:val="single" w:color="auto" w:sz="4" w:space="0"/>
            </w:tcBorders>
            <w:noWrap w:val="0"/>
            <w:vAlign w:val="bottom"/>
          </w:tcPr>
          <w:p w14:paraId="75C014C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1.员工上下班必须在指定地方打卡签到，不准迟到、早退、旷工。</w:t>
            </w:r>
          </w:p>
        </w:tc>
      </w:tr>
      <w:tr w14:paraId="762566B1">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8EBA9D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CF3A2D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2.员工上下班必须由指定路线进出服务区域（紧急情况除外）。</w:t>
            </w:r>
          </w:p>
        </w:tc>
      </w:tr>
      <w:tr w14:paraId="0482A765">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EE5229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C07CF3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3.当值时必须穿着制服，正确佩戴铭牌和证件。</w:t>
            </w:r>
          </w:p>
        </w:tc>
      </w:tr>
      <w:tr w14:paraId="5346F27D">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0F93C0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DFA1C8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4.在岗时，要礼貌待人，微笑服务，不卑不亢。</w:t>
            </w:r>
          </w:p>
        </w:tc>
      </w:tr>
      <w:tr w14:paraId="1DB4F7CA">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BD6800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CEE3FD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5.当值期间不得擅离职守，需要暂时离开岗位时要报告班长，并且有替岗人员到位后方可离开。</w:t>
            </w:r>
          </w:p>
        </w:tc>
      </w:tr>
      <w:tr w14:paraId="7247D9D3">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4EDFF2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E8C4AB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6.不得当值时在岗位上闲聊、抽烟、打盹、睡觉、赌博或玩手机等。</w:t>
            </w:r>
          </w:p>
        </w:tc>
      </w:tr>
      <w:tr w14:paraId="22A05FA3">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6635CF0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AA9CF5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7.下班后不得着制服在园区内外逗留、闲逛、嬉戏。</w:t>
            </w:r>
          </w:p>
        </w:tc>
      </w:tr>
      <w:tr w14:paraId="0676961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4D3618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CB337A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8.当值前或当值时不得饮用含酒精类的饮品，避免吃葱、蒜、韭菜等令人不愉快的刺激气味的食品。</w:t>
            </w:r>
          </w:p>
        </w:tc>
      </w:tr>
      <w:tr w14:paraId="5E365E69">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DF072D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726B2D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9.秩序队员在岗上除了对讲机、巡更棒等标准装备外，不能携带与值班无关的东西，包括手机、书籍、饮料瓶、食品等。</w:t>
            </w:r>
          </w:p>
        </w:tc>
      </w:tr>
      <w:tr w14:paraId="7556AA21">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D9F7DA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4EA26A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10.言语谨慎，岗位上不得嘲弄、取笑或者激怒他人，不得擅自向外人泄露商业机密。</w:t>
            </w:r>
          </w:p>
        </w:tc>
      </w:tr>
      <w:tr w14:paraId="54B8819E">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CD42A4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4FBEF0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11.在任何情况下严禁与业主、客人、租户发生争执。</w:t>
            </w:r>
          </w:p>
        </w:tc>
      </w:tr>
      <w:tr w14:paraId="75B20C84">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A2E2D9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153D6E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12.严禁向租户、客户以各种形式勒索财物。</w:t>
            </w:r>
          </w:p>
        </w:tc>
      </w:tr>
      <w:tr w14:paraId="3B6FCEC3">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7A66CD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8D2057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13.发现业主及客户遗落物品应即时上交，不得藏匿。</w:t>
            </w:r>
          </w:p>
        </w:tc>
      </w:tr>
      <w:tr w14:paraId="3595C98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385C7E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A73DF9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14.秩序队员如犯有任何罪案，立即交警方处理，如违反规章制度，则应接受处分、警告、直到除名。</w:t>
            </w:r>
          </w:p>
        </w:tc>
      </w:tr>
      <w:tr w14:paraId="2BF79B26">
        <w:tblPrEx>
          <w:tblCellMar>
            <w:top w:w="0" w:type="dxa"/>
            <w:left w:w="108" w:type="dxa"/>
            <w:bottom w:w="0" w:type="dxa"/>
            <w:right w:w="108" w:type="dxa"/>
          </w:tblCellMar>
        </w:tblPrEx>
        <w:trPr>
          <w:trHeight w:val="142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793F67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E0B286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15.上岗之前必须提前15分钟列队召开班前会。下岗后，必须列队召开班后会。由安全综合主管总结一天的工作，提出批评和表扬以及跟进事宜。中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rPr>
              <w:t>单位公司人员或</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必须不定期、不定时进行夜间抽查，夜查次数每月不少于2次，并制作书面检查记录，将检查状况逐级上报并抄送</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现场秩序负责人。中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rPr>
              <w:t>单位公司人员每月不低于一次对项目现场进行品质巡查，并制作书面检查记录，将检查状况逐级上报并抄送</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现场秩序负责人。</w:t>
            </w:r>
          </w:p>
        </w:tc>
      </w:tr>
      <w:tr w14:paraId="1FAF42AF">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B87562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CEE7AD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16.员工必须保持良好形象，微笑服务。如被发现有不合标准之处，</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有权责令其改正，并进行相应扣分,汇入月度付款报告中进行相应扣款处理。</w:t>
            </w:r>
          </w:p>
        </w:tc>
      </w:tr>
      <w:tr w14:paraId="50EF281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E439F70">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A15FAA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安全综合主管应参加</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在该服务项目的晨会。</w:t>
            </w:r>
          </w:p>
        </w:tc>
      </w:tr>
      <w:tr w14:paraId="41D2D919">
        <w:tblPrEx>
          <w:tblCellMar>
            <w:top w:w="0" w:type="dxa"/>
            <w:left w:w="108" w:type="dxa"/>
            <w:bottom w:w="0" w:type="dxa"/>
            <w:right w:w="108" w:type="dxa"/>
          </w:tblCellMar>
        </w:tblPrEx>
        <w:trPr>
          <w:trHeight w:val="570" w:hRule="atLeast"/>
        </w:trPr>
        <w:tc>
          <w:tcPr>
            <w:tcW w:w="1966" w:type="dxa"/>
            <w:tcBorders>
              <w:top w:val="nil"/>
              <w:left w:val="single" w:color="auto" w:sz="4" w:space="0"/>
              <w:bottom w:val="single" w:color="auto" w:sz="4" w:space="0"/>
              <w:right w:val="single" w:color="auto" w:sz="4" w:space="0"/>
            </w:tcBorders>
            <w:noWrap/>
            <w:vAlign w:val="center"/>
          </w:tcPr>
          <w:p w14:paraId="6626DDFA">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权力范围</w:t>
            </w:r>
          </w:p>
        </w:tc>
        <w:tc>
          <w:tcPr>
            <w:tcW w:w="7957" w:type="dxa"/>
            <w:tcBorders>
              <w:top w:val="nil"/>
              <w:left w:val="nil"/>
              <w:bottom w:val="single" w:color="auto" w:sz="4" w:space="0"/>
              <w:right w:val="single" w:color="auto" w:sz="4" w:space="0"/>
            </w:tcBorders>
            <w:noWrap w:val="0"/>
            <w:vAlign w:val="bottom"/>
          </w:tcPr>
          <w:p w14:paraId="0DA42DD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所有秩序队员无权强制搜身，无权扣留任何人，如有紧急情况应从速报告或报警，保护现场并禁止闲杂人员进入。</w:t>
            </w:r>
          </w:p>
        </w:tc>
      </w:tr>
      <w:tr w14:paraId="41A34452">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2B7F54B1">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仪容仪表要求</w:t>
            </w:r>
          </w:p>
        </w:tc>
        <w:tc>
          <w:tcPr>
            <w:tcW w:w="7957" w:type="dxa"/>
            <w:tcBorders>
              <w:top w:val="nil"/>
              <w:left w:val="nil"/>
              <w:bottom w:val="single" w:color="auto" w:sz="4" w:space="0"/>
              <w:right w:val="single" w:color="auto" w:sz="4" w:space="0"/>
            </w:tcBorders>
            <w:noWrap w:val="0"/>
            <w:vAlign w:val="bottom"/>
          </w:tcPr>
          <w:p w14:paraId="0E99475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1.在班前例会上班长应检查每位所属员工的仪表仪容，确保所有员工仪容仪表符合标准。</w:t>
            </w:r>
          </w:p>
        </w:tc>
      </w:tr>
      <w:tr w14:paraId="63FFA226">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50C20B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4E194C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2.上岗期间必须按规定穿着制服（服装、领带、帽子、黑皮鞋、深色袜子）整齐划一，铭牌/工作证应佩带在指定位置，皮鞋统一黑色，鞋面保持光亮，无污垢、污渍。非特殊工作需要，不得将衣袖、裤脚卷起。</w:t>
            </w:r>
          </w:p>
        </w:tc>
      </w:tr>
      <w:tr w14:paraId="7956299A">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EF7BE1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61B1D0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3.衬衣袖口、领口清洁无破损，熨烫平整，衬衫下摆扎进裤子中。</w:t>
            </w:r>
          </w:p>
        </w:tc>
      </w:tr>
      <w:tr w14:paraId="4D4C626D">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0E4A72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ADD398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4.如系领带，衬衫领口扣要系上，领带结整齐利落，领带下尖端不超过皮带扣。</w:t>
            </w:r>
          </w:p>
        </w:tc>
      </w:tr>
      <w:tr w14:paraId="3ED829D9">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2D2591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3BC612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5.面部干净清爽，不留胡须，鼻毛不外漏。</w:t>
            </w:r>
          </w:p>
        </w:tc>
      </w:tr>
      <w:tr w14:paraId="0EB6D11E">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9F27B48">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E35143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头发干净整齐，不油腻，不能彩色染发。男员工保持仪容仪表整洁大方；头发前不过眉，侧不过耳，后不过劲，不得留光头；不得留胡须；双手保持清洁，不留长指甲，不涂有色指甲，不戴手饰。女员工刘海长度不超过眉毛，两边头发梳理整齐用黑色发卡别住，后面用统一发套。保持仪容仪表整洁大方；头发梳剪整齐，不作怪异发型，不染怪异颜色，不披头散发；保持双手清洁，不留长指甲，不涂有色指甲，不戴夸张手饰。</w:t>
            </w:r>
          </w:p>
        </w:tc>
      </w:tr>
      <w:tr w14:paraId="5A53C14A">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44D22F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F09EC7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7.不带耳环、耳坠、手链等，不涂指甲油，指甲长度不超过指尖。</w:t>
            </w:r>
          </w:p>
        </w:tc>
      </w:tr>
      <w:tr w14:paraId="7E969F36">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E31E262">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422BC0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8.站姿保持两腿与双肩同宽，两手自然下垂，或立正、或跨立、或双手相握放于腹部，收腹、挺胸，不得大稍息。</w:t>
            </w:r>
          </w:p>
        </w:tc>
      </w:tr>
      <w:tr w14:paraId="40164977">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530012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214F22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9.精神面貌：行走有力，挺拔，精神饱满，目视前方，富有朝气。</w:t>
            </w:r>
          </w:p>
        </w:tc>
      </w:tr>
      <w:tr w14:paraId="658A880B">
        <w:tblPrEx>
          <w:tblCellMar>
            <w:top w:w="0" w:type="dxa"/>
            <w:left w:w="108" w:type="dxa"/>
            <w:bottom w:w="0" w:type="dxa"/>
            <w:right w:w="108" w:type="dxa"/>
          </w:tblCellMar>
        </w:tblPrEx>
        <w:trPr>
          <w:trHeight w:val="570" w:hRule="atLeast"/>
        </w:trPr>
        <w:tc>
          <w:tcPr>
            <w:tcW w:w="1966" w:type="dxa"/>
            <w:vMerge w:val="restart"/>
            <w:tcBorders>
              <w:top w:val="nil"/>
              <w:left w:val="single" w:color="auto" w:sz="4" w:space="0"/>
              <w:right w:val="single" w:color="auto" w:sz="4" w:space="0"/>
            </w:tcBorders>
            <w:noWrap w:val="0"/>
            <w:vAlign w:val="center"/>
          </w:tcPr>
          <w:p w14:paraId="74D0C742">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服装/装备要求</w:t>
            </w:r>
          </w:p>
        </w:tc>
        <w:tc>
          <w:tcPr>
            <w:tcW w:w="7957" w:type="dxa"/>
            <w:tcBorders>
              <w:top w:val="nil"/>
              <w:left w:val="nil"/>
              <w:bottom w:val="single" w:color="auto" w:sz="4" w:space="0"/>
              <w:right w:val="single" w:color="auto" w:sz="4" w:space="0"/>
            </w:tcBorders>
            <w:noWrap w:val="0"/>
            <w:vAlign w:val="bottom"/>
          </w:tcPr>
          <w:p w14:paraId="60BD08D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1.春夏秋冬四季秩序员上岗时，服装统一套装（按</w:t>
            </w:r>
            <w:r>
              <w:rPr>
                <w:rFonts w:hint="eastAsia" w:ascii="方正仿宋_GBK" w:hAnsi="方正仿宋_GBK" w:eastAsia="方正仿宋_GBK" w:cs="方正仿宋_GBK"/>
                <w:sz w:val="21"/>
                <w:szCs w:val="21"/>
                <w:lang w:val="en-US" w:eastAsia="zh-CN"/>
              </w:rPr>
              <w:t>比选人</w:t>
            </w:r>
            <w:r>
              <w:rPr>
                <w:rFonts w:hint="eastAsia" w:ascii="方正仿宋_GBK" w:hAnsi="方正仿宋_GBK" w:eastAsia="方正仿宋_GBK" w:cs="方正仿宋_GBK"/>
                <w:sz w:val="21"/>
                <w:szCs w:val="21"/>
              </w:rPr>
              <w:t>要求执行）。</w:t>
            </w:r>
          </w:p>
        </w:tc>
      </w:tr>
      <w:tr w14:paraId="06D09833">
        <w:tblPrEx>
          <w:tblCellMar>
            <w:top w:w="0" w:type="dxa"/>
            <w:left w:w="108" w:type="dxa"/>
            <w:bottom w:w="0" w:type="dxa"/>
            <w:right w:w="108" w:type="dxa"/>
          </w:tblCellMar>
        </w:tblPrEx>
        <w:trPr>
          <w:trHeight w:val="570" w:hRule="atLeast"/>
        </w:trPr>
        <w:tc>
          <w:tcPr>
            <w:tcW w:w="1966" w:type="dxa"/>
            <w:vMerge w:val="continue"/>
            <w:tcBorders>
              <w:left w:val="single" w:color="auto" w:sz="4" w:space="0"/>
              <w:bottom w:val="single" w:color="000000" w:sz="4" w:space="0"/>
              <w:right w:val="single" w:color="auto" w:sz="4" w:space="0"/>
            </w:tcBorders>
            <w:noWrap w:val="0"/>
            <w:vAlign w:val="center"/>
          </w:tcPr>
          <w:p w14:paraId="77A0D971">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A624BF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2.夜间保安均要外穿反光背心，配戴肩闪灯，持强光手电。</w:t>
            </w:r>
          </w:p>
        </w:tc>
      </w:tr>
      <w:tr w14:paraId="456A5F76">
        <w:tblPrEx>
          <w:tblCellMar>
            <w:top w:w="0" w:type="dxa"/>
            <w:left w:w="108" w:type="dxa"/>
            <w:bottom w:w="0" w:type="dxa"/>
            <w:right w:w="108" w:type="dxa"/>
          </w:tblCellMar>
        </w:tblPrEx>
        <w:trPr>
          <w:trHeight w:val="1240" w:hRule="atLeast"/>
        </w:trPr>
        <w:tc>
          <w:tcPr>
            <w:tcW w:w="1966" w:type="dxa"/>
            <w:vMerge w:val="continue"/>
            <w:tcBorders>
              <w:left w:val="single" w:color="auto" w:sz="4" w:space="0"/>
              <w:bottom w:val="single" w:color="000000" w:sz="4" w:space="0"/>
              <w:right w:val="single" w:color="auto" w:sz="4" w:space="0"/>
            </w:tcBorders>
            <w:noWrap w:val="0"/>
            <w:vAlign w:val="center"/>
          </w:tcPr>
          <w:p w14:paraId="2B0860B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DEE16B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冬季武装巡逻须穿戴防暴头盔、防刺服、战术手套并配带警棍、盾牌等防暴装备进行。夏季佩戴防暴头盔、反光背心、三角袖标并佩戴警棍、盾牌等配套防暴装备。巡逻人员为2人以上组队进行，须保持服装、装备、标准一致。</w:t>
            </w:r>
          </w:p>
        </w:tc>
      </w:tr>
      <w:tr w14:paraId="5E42B900">
        <w:tblPrEx>
          <w:tblCellMar>
            <w:top w:w="0" w:type="dxa"/>
            <w:left w:w="108" w:type="dxa"/>
            <w:bottom w:w="0" w:type="dxa"/>
            <w:right w:w="108" w:type="dxa"/>
          </w:tblCellMar>
        </w:tblPrEx>
        <w:trPr>
          <w:trHeight w:val="570"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02D33A88">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器材使用要求</w:t>
            </w:r>
          </w:p>
        </w:tc>
        <w:tc>
          <w:tcPr>
            <w:tcW w:w="7957" w:type="dxa"/>
            <w:tcBorders>
              <w:top w:val="nil"/>
              <w:left w:val="nil"/>
              <w:bottom w:val="single" w:color="auto" w:sz="4" w:space="0"/>
              <w:right w:val="single" w:color="auto" w:sz="4" w:space="0"/>
            </w:tcBorders>
            <w:noWrap w:val="0"/>
            <w:vAlign w:val="bottom"/>
          </w:tcPr>
          <w:p w14:paraId="29D3638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1.爱护</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财物和设施设备，如因</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责任造成</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财物或设施设备损失、损坏的，由</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全额赔偿。</w:t>
            </w:r>
          </w:p>
        </w:tc>
      </w:tr>
      <w:tr w14:paraId="54BBA35E">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0DEF9C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E6CAC0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2.未经</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书面同意，</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不得将各类机器设备挪作他用或外借等。</w:t>
            </w:r>
          </w:p>
        </w:tc>
      </w:tr>
      <w:tr w14:paraId="1990C302">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1B30775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A4CBD2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应按照</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要求配置安全工作相关器材设施。</w:t>
            </w:r>
          </w:p>
        </w:tc>
      </w:tr>
      <w:tr w14:paraId="46EC2153">
        <w:tblPrEx>
          <w:tblCellMar>
            <w:top w:w="0" w:type="dxa"/>
            <w:left w:w="108" w:type="dxa"/>
            <w:bottom w:w="0" w:type="dxa"/>
            <w:right w:w="108" w:type="dxa"/>
          </w:tblCellMar>
        </w:tblPrEx>
        <w:trPr>
          <w:trHeight w:val="570"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4C8B26EA">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工作管理要求</w:t>
            </w:r>
          </w:p>
        </w:tc>
        <w:tc>
          <w:tcPr>
            <w:tcW w:w="7957" w:type="dxa"/>
            <w:tcBorders>
              <w:top w:val="nil"/>
              <w:left w:val="nil"/>
              <w:bottom w:val="single" w:color="auto" w:sz="4" w:space="0"/>
              <w:right w:val="single" w:color="auto" w:sz="4" w:space="0"/>
            </w:tcBorders>
            <w:noWrap w:val="0"/>
            <w:vAlign w:val="bottom"/>
          </w:tcPr>
          <w:p w14:paraId="053FF40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1.每位秩序员在上岗前必须填写入职登记表并粘贴有效身份证件正反复印件，并加盖</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公司公章后报给</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备案，得到</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签字认可后方有资格上岗；</w:t>
            </w:r>
          </w:p>
        </w:tc>
      </w:tr>
      <w:tr w14:paraId="63DD8BDD">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E7ED68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4B481A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2. </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派驻所有秩序员上下班必须打卡，由</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负责考勤信息汇总，</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不定期抽查；</w:t>
            </w:r>
          </w:p>
        </w:tc>
      </w:tr>
      <w:tr w14:paraId="046FC816">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2444ED3">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E7824F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3. </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需对其员工进行岗前培训后方可交由</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审核入职，并为员工提供良好的在职培训和训练。</w:t>
            </w:r>
          </w:p>
        </w:tc>
      </w:tr>
      <w:tr w14:paraId="77BC024A">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90A0F9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0EB3C9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4.所有员工的招聘、录／退用由</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负责。</w:t>
            </w:r>
          </w:p>
        </w:tc>
      </w:tr>
      <w:tr w14:paraId="07BF16AB">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83491AC">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16904E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5.每位秩序员的通讯方法和联络方式应明确告知</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（登记在入职登记表中）。</w:t>
            </w:r>
          </w:p>
        </w:tc>
      </w:tr>
      <w:tr w14:paraId="2EE08DAD">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6FA70D6">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DD46AA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6.未经</w:t>
            </w:r>
            <w:r>
              <w:rPr>
                <w:rFonts w:hint="eastAsia" w:ascii="方正仿宋_GBK" w:hAnsi="方正仿宋_GBK" w:eastAsia="方正仿宋_GBK" w:cs="方正仿宋_GBK"/>
                <w:sz w:val="21"/>
                <w:szCs w:val="21"/>
                <w:lang w:val="en-US" w:eastAsia="zh-CN"/>
              </w:rPr>
              <w:t>比选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书面同意，</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不得随意更改上班作息时间和调换增减所属员工。如需调整应取得招标方同意。</w:t>
            </w:r>
          </w:p>
        </w:tc>
      </w:tr>
      <w:tr w14:paraId="4D68C34D">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B194D75">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F622D8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7. </w:t>
            </w:r>
            <w:r>
              <w:rPr>
                <w:rFonts w:hint="eastAsia" w:ascii="方正仿宋_GBK" w:hAnsi="方正仿宋_GBK" w:eastAsia="方正仿宋_GBK" w:cs="方正仿宋_GBK"/>
                <w:sz w:val="21"/>
                <w:szCs w:val="21"/>
                <w:lang w:eastAsia="zh-CN"/>
              </w:rPr>
              <w:t>中</w:t>
            </w:r>
            <w:r>
              <w:rPr>
                <w:rFonts w:hint="eastAsia" w:ascii="方正仿宋_GBK" w:hAnsi="方正仿宋_GBK" w:eastAsia="方正仿宋_GBK" w:cs="方正仿宋_GBK"/>
                <w:sz w:val="21"/>
                <w:szCs w:val="21"/>
                <w:lang w:val="en-US" w:eastAsia="zh-CN"/>
              </w:rPr>
              <w:t>选</w:t>
            </w:r>
            <w:r>
              <w:rPr>
                <w:rFonts w:hint="eastAsia" w:ascii="方正仿宋_GBK" w:hAnsi="方正仿宋_GBK" w:eastAsia="方正仿宋_GBK" w:cs="方正仿宋_GBK"/>
                <w:sz w:val="21"/>
                <w:szCs w:val="21"/>
                <w:lang w:eastAsia="zh-CN"/>
              </w:rPr>
              <w:t>人</w:t>
            </w:r>
            <w:r>
              <w:rPr>
                <w:rFonts w:hint="eastAsia" w:ascii="方正仿宋_GBK" w:hAnsi="方正仿宋_GBK" w:eastAsia="方正仿宋_GBK" w:cs="方正仿宋_GBK"/>
                <w:sz w:val="21"/>
                <w:szCs w:val="21"/>
              </w:rPr>
              <w:t>对新入职人员要进行入职培训并有相关培训记录以及考核通过的说明。</w:t>
            </w:r>
          </w:p>
        </w:tc>
      </w:tr>
      <w:tr w14:paraId="66863E8C">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575E97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DC241F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8. </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在</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现场实施的所有规章制度、操作流程，须报经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审批后方可实施，如有修改，重新申报审批。</w:t>
            </w:r>
          </w:p>
        </w:tc>
      </w:tr>
      <w:tr w14:paraId="545BD992">
        <w:tblPrEx>
          <w:tblCellMar>
            <w:top w:w="0" w:type="dxa"/>
            <w:left w:w="108" w:type="dxa"/>
            <w:bottom w:w="0" w:type="dxa"/>
            <w:right w:w="108" w:type="dxa"/>
          </w:tblCellMar>
        </w:tblPrEx>
        <w:trPr>
          <w:trHeight w:val="85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30FCEA9">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432742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9. </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和班长应随时巡查并确保秩序岗位符合招标方要求。招标方每天对秩序岗位不定时、地循环检查，对不合格项按标准扣分，每月汇总到月度付款报告中，根据结果给</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结算服务费用。</w:t>
            </w:r>
          </w:p>
        </w:tc>
      </w:tr>
      <w:tr w14:paraId="30ED8112">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9825BAE">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CB50BE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10. </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必须保证规定岗位100％出勤率，否则按空岗处理，由此引起的一切不良后果均由中标单位承担。</w:t>
            </w:r>
          </w:p>
        </w:tc>
      </w:tr>
      <w:tr w14:paraId="44906ECC">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47B3CB07">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20C106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提出更换不合格的秩序维护员，</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必须当日执行；</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提出更换不合格班长，</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必须在3天内调整完毕；</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提出的更换保安</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的要求，</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必须在1周内调整完毕。</w:t>
            </w:r>
          </w:p>
        </w:tc>
      </w:tr>
      <w:tr w14:paraId="2A05F739">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1061DCF">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604C34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12.为确保现场的服务质量，</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应每月确保离职率在10%以内，如果超出此离职率，根据结果给予中标单位结算服务费用或区域约谈。</w:t>
            </w:r>
          </w:p>
        </w:tc>
      </w:tr>
      <w:tr w14:paraId="746B5550">
        <w:tblPrEx>
          <w:tblCellMar>
            <w:top w:w="0" w:type="dxa"/>
            <w:left w:w="108" w:type="dxa"/>
            <w:bottom w:w="0" w:type="dxa"/>
            <w:right w:w="108" w:type="dxa"/>
          </w:tblCellMar>
        </w:tblPrEx>
        <w:trPr>
          <w:trHeight w:val="600"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0CE137B0">
            <w:pPr>
              <w:spacing w:line="240" w:lineRule="auto"/>
              <w:ind w:firstLine="0" w:firstLineChars="0"/>
              <w:jc w:val="center"/>
              <w:rPr>
                <w:rFonts w:hint="eastAsia" w:ascii="方正仿宋_GBK" w:hAnsi="方正仿宋_GBK" w:eastAsia="方正仿宋_GBK" w:cs="方正仿宋_GBK"/>
                <w:sz w:val="21"/>
                <w:szCs w:val="21"/>
              </w:rPr>
            </w:pPr>
          </w:p>
          <w:p w14:paraId="7EF9833B">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培训/训练</w:t>
            </w:r>
          </w:p>
          <w:p w14:paraId="3D5FBDD2">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要求</w:t>
            </w:r>
          </w:p>
        </w:tc>
        <w:tc>
          <w:tcPr>
            <w:tcW w:w="7957" w:type="dxa"/>
            <w:tcBorders>
              <w:top w:val="nil"/>
              <w:left w:val="nil"/>
              <w:bottom w:val="single" w:color="auto" w:sz="4" w:space="0"/>
              <w:right w:val="single" w:color="auto" w:sz="4" w:space="0"/>
            </w:tcBorders>
            <w:noWrap w:val="0"/>
            <w:vAlign w:val="bottom"/>
          </w:tcPr>
          <w:p w14:paraId="715B821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1.秩序维护员每周由安全综合主管带队，在</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指定地点集体训练、培训45分钟，训练、培训时间</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不再另行计算酬劳。</w:t>
            </w:r>
          </w:p>
        </w:tc>
      </w:tr>
      <w:tr w14:paraId="3AE765CE">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75D494CB">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723CC4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2.培训内容包括礼貌礼仪、岗位纪律、岗位要求、政策法规、项目简介、应急流程等所有岗上应知应会内容，并可能随时接受岗上检查。</w:t>
            </w:r>
          </w:p>
        </w:tc>
      </w:tr>
      <w:tr w14:paraId="3395B35F">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2477D99B">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DD068A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3.训练内容包括站姿、队列、消防演习、消防设备使用等方面，训练计划要报</w:t>
            </w:r>
            <w:r>
              <w:rPr>
                <w:rFonts w:hint="eastAsia" w:ascii="方正仿宋_GBK" w:hAnsi="方正仿宋_GBK" w:eastAsia="方正仿宋_GBK" w:cs="方正仿宋_GBK"/>
                <w:sz w:val="21"/>
                <w:szCs w:val="21"/>
                <w:lang w:val="en-US" w:eastAsia="zh-CN"/>
              </w:rPr>
              <w:t>比选人</w:t>
            </w:r>
            <w:r>
              <w:rPr>
                <w:rFonts w:hint="eastAsia" w:ascii="方正仿宋_GBK" w:hAnsi="方正仿宋_GBK" w:eastAsia="方正仿宋_GBK" w:cs="方正仿宋_GBK"/>
                <w:sz w:val="21"/>
                <w:szCs w:val="21"/>
              </w:rPr>
              <w:t>备案并留存培训图片和培训记录签到。</w:t>
            </w:r>
          </w:p>
        </w:tc>
      </w:tr>
      <w:tr w14:paraId="3CAD81F8">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0397ACEA">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32CAA9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4.培训和训练内容、参训人员、时间均要有书面记录。</w:t>
            </w:r>
          </w:p>
        </w:tc>
      </w:tr>
      <w:tr w14:paraId="66CA2B87">
        <w:tblPrEx>
          <w:tblCellMar>
            <w:top w:w="0" w:type="dxa"/>
            <w:left w:w="108" w:type="dxa"/>
            <w:bottom w:w="0" w:type="dxa"/>
            <w:right w:w="108" w:type="dxa"/>
          </w:tblCellMar>
        </w:tblPrEx>
        <w:trPr>
          <w:trHeight w:val="285"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C7E1AC4">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9F2973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5.秩序队员需要接受相关内容培训，并要求考核达标。</w:t>
            </w:r>
          </w:p>
        </w:tc>
      </w:tr>
      <w:tr w14:paraId="631F5E35">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bottom w:val="single" w:color="000000" w:sz="4" w:space="0"/>
              <w:right w:val="single" w:color="auto" w:sz="4" w:space="0"/>
            </w:tcBorders>
            <w:noWrap w:val="0"/>
            <w:vAlign w:val="center"/>
          </w:tcPr>
          <w:p w14:paraId="29BFB12B">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换岗要求</w:t>
            </w:r>
          </w:p>
        </w:tc>
        <w:tc>
          <w:tcPr>
            <w:tcW w:w="7957" w:type="dxa"/>
            <w:tcBorders>
              <w:top w:val="nil"/>
              <w:left w:val="nil"/>
              <w:bottom w:val="single" w:color="auto" w:sz="4" w:space="0"/>
              <w:right w:val="single" w:color="auto" w:sz="4" w:space="0"/>
            </w:tcBorders>
            <w:noWrap w:val="0"/>
            <w:vAlign w:val="bottom"/>
          </w:tcPr>
          <w:p w14:paraId="19F2D1E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1.门岗秩序队员在执勤期间，站岗时间满2小时至少换岗休息一次，以便保安员精力恢复和处理个人私事。</w:t>
            </w:r>
          </w:p>
        </w:tc>
      </w:tr>
      <w:tr w14:paraId="62DEAD36">
        <w:tblPrEx>
          <w:tblCellMar>
            <w:top w:w="0" w:type="dxa"/>
            <w:left w:w="108" w:type="dxa"/>
            <w:bottom w:w="0" w:type="dxa"/>
            <w:right w:w="108" w:type="dxa"/>
          </w:tblCellMar>
        </w:tblPrEx>
        <w:trPr>
          <w:trHeight w:val="570" w:hRule="atLeast"/>
        </w:trPr>
        <w:tc>
          <w:tcPr>
            <w:tcW w:w="1966" w:type="dxa"/>
            <w:vMerge w:val="continue"/>
            <w:tcBorders>
              <w:top w:val="nil"/>
              <w:left w:val="single" w:color="auto" w:sz="4" w:space="0"/>
              <w:bottom w:val="single" w:color="000000" w:sz="4" w:space="0"/>
              <w:right w:val="single" w:color="auto" w:sz="4" w:space="0"/>
            </w:tcBorders>
            <w:noWrap w:val="0"/>
            <w:vAlign w:val="center"/>
          </w:tcPr>
          <w:p w14:paraId="531092FD">
            <w:pPr>
              <w:spacing w:line="240" w:lineRule="auto"/>
              <w:ind w:firstLine="0" w:firstLineChars="0"/>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AE7A71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2.夜班门岗点坐于岗亭外，巡逻岗值班期间定时巡逻，不得私自更改定点位置及巡更路线，并避免打盹睡觉等违规行为。</w:t>
            </w:r>
          </w:p>
        </w:tc>
      </w:tr>
      <w:tr w14:paraId="7BC5DC6A">
        <w:tblPrEx>
          <w:tblCellMar>
            <w:top w:w="0" w:type="dxa"/>
            <w:left w:w="108" w:type="dxa"/>
            <w:bottom w:w="0" w:type="dxa"/>
            <w:right w:w="108" w:type="dxa"/>
          </w:tblCellMar>
        </w:tblPrEx>
        <w:trPr>
          <w:trHeight w:val="285" w:hRule="atLeast"/>
        </w:trPr>
        <w:tc>
          <w:tcPr>
            <w:tcW w:w="1966" w:type="dxa"/>
            <w:tcBorders>
              <w:top w:val="nil"/>
              <w:left w:val="single" w:color="auto" w:sz="4" w:space="0"/>
              <w:bottom w:val="single" w:color="auto" w:sz="4" w:space="0"/>
              <w:right w:val="single" w:color="auto" w:sz="4" w:space="0"/>
            </w:tcBorders>
            <w:noWrap w:val="0"/>
            <w:vAlign w:val="bottom"/>
          </w:tcPr>
          <w:p w14:paraId="14960789">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奖惩规定</w:t>
            </w:r>
          </w:p>
        </w:tc>
        <w:tc>
          <w:tcPr>
            <w:tcW w:w="7957" w:type="dxa"/>
            <w:tcBorders>
              <w:top w:val="nil"/>
              <w:left w:val="nil"/>
              <w:bottom w:val="single" w:color="auto" w:sz="4" w:space="0"/>
              <w:right w:val="single" w:color="auto" w:sz="4" w:space="0"/>
            </w:tcBorders>
            <w:noWrap w:val="0"/>
            <w:vAlign w:val="bottom"/>
          </w:tcPr>
          <w:p w14:paraId="6BB4559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派驻秩序维护员的奖惩考核遵照外包服务合同约定执行。</w:t>
            </w:r>
          </w:p>
        </w:tc>
      </w:tr>
      <w:tr w14:paraId="75D674F0">
        <w:tblPrEx>
          <w:tblCellMar>
            <w:top w:w="0" w:type="dxa"/>
            <w:left w:w="108" w:type="dxa"/>
            <w:bottom w:w="0" w:type="dxa"/>
            <w:right w:w="108" w:type="dxa"/>
          </w:tblCellMar>
        </w:tblPrEx>
        <w:trPr>
          <w:trHeight w:val="285" w:hRule="atLeast"/>
        </w:trPr>
        <w:tc>
          <w:tcPr>
            <w:tcW w:w="1966" w:type="dxa"/>
            <w:vMerge w:val="restart"/>
            <w:tcBorders>
              <w:top w:val="nil"/>
              <w:left w:val="single" w:color="auto" w:sz="4" w:space="0"/>
              <w:right w:val="single" w:color="auto" w:sz="4" w:space="0"/>
            </w:tcBorders>
            <w:noWrap w:val="0"/>
            <w:vAlign w:val="center"/>
          </w:tcPr>
          <w:p w14:paraId="765B6B4E">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后勤管理</w:t>
            </w:r>
          </w:p>
        </w:tc>
        <w:tc>
          <w:tcPr>
            <w:tcW w:w="7957" w:type="dxa"/>
            <w:tcBorders>
              <w:top w:val="nil"/>
              <w:left w:val="nil"/>
              <w:bottom w:val="single" w:color="auto" w:sz="4" w:space="0"/>
              <w:right w:val="single" w:color="auto" w:sz="4" w:space="0"/>
            </w:tcBorders>
            <w:noWrap w:val="0"/>
            <w:vAlign w:val="bottom"/>
          </w:tcPr>
          <w:p w14:paraId="532166C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1.整体环境良好，室内通风、不潮湿、无异味，无乱丢乱扔，乱张贴，无私拉乱接。床位稳固摆放合理。床面物品平整干净，被子折叠整齐，摆放统一。</w:t>
            </w:r>
          </w:p>
        </w:tc>
      </w:tr>
      <w:tr w14:paraId="4C75283A">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41A4082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700476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椅柜摆放有序，无乱堆放，无破损。相关管理制度按照集团下发相关标准制度执行，物品配置到位，且摆放整齐、有序，标识标牌规范张贴。不高声喧哗，不打牌酗酒、不从事不正当娱乐。不得留宿管理处以外工作人员，留宿人员须经</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项目负责人同意。节约用水、电、气。无人情况下，应关闭电视、照明及空调等电源。</w:t>
            </w:r>
          </w:p>
        </w:tc>
      </w:tr>
      <w:tr w14:paraId="6F0EBB81">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2AD6B56C">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出入口管理</w:t>
            </w:r>
          </w:p>
        </w:tc>
        <w:tc>
          <w:tcPr>
            <w:tcW w:w="7957" w:type="dxa"/>
            <w:tcBorders>
              <w:top w:val="nil"/>
              <w:left w:val="nil"/>
              <w:bottom w:val="single" w:color="auto" w:sz="4" w:space="0"/>
              <w:right w:val="single" w:color="auto" w:sz="4" w:space="0"/>
            </w:tcBorders>
            <w:noWrap w:val="0"/>
            <w:vAlign w:val="center"/>
          </w:tcPr>
          <w:p w14:paraId="634E0C2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小区人员、车辆实行凭证/卡或指纹识别等方式进入（具体根据门岗配置设备确定）。来访人员、车辆应严格盘问，经中控室向被访业主确认后方可进入。如向业主确认时间超过5分钟，应主动向来访人员致歉，并征得对方理解。人员进入后，应及时做好来访人员登记。</w:t>
            </w:r>
          </w:p>
        </w:tc>
      </w:tr>
      <w:tr w14:paraId="1C7268D0">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229CBBDA">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6C1407F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大件物品（电器设备、家私等）拿出小区时，应凭客户服务中心开具的《放行条》予以登记放行。物品放行时，拿出人员应凭有效身份证件在《物品放行登记本》上签字确认。雨篷、钢架、防盗网等可能影响建筑外观的建材进入小区时，应通知工程部装修监管责任人，待该责任人同意后方可放行，同时做好物品进入登记。小区住户委托临时存放在岗位上的物品，应规范放置于“临时物品放置区”等指定位置，并按要求做好相应登记。物品取走后，应由取件人签收。</w:t>
            </w:r>
          </w:p>
        </w:tc>
      </w:tr>
      <w:tr w14:paraId="62CC299F">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3BBE8A79">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4F97041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装修人员需办理《临时出入证》（实行一人一证，正副本），凭证进入时，证件副本应留存于门岗，待人员离开时予以归还。检查房号、姓名、相片管理处公章，过期证件不得使用。着装不得将赤裸上身工人进入小区，改正后方可放行。供方人员着工作服，带有效工作证出入。</w:t>
            </w:r>
          </w:p>
        </w:tc>
      </w:tr>
      <w:tr w14:paraId="05ED65CF">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7478759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532D740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4.客户使用手推车、伞时，应主动询问使用者所去楼幢及房号，通知巡逻岗注意收回手推车、伞，同时按要求做好登记。手推车、伞具回收后，应及时做好销账登记。</w:t>
            </w:r>
          </w:p>
        </w:tc>
      </w:tr>
      <w:tr w14:paraId="29EAC4C3">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5C0525F4">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巡逻管理</w:t>
            </w:r>
          </w:p>
        </w:tc>
        <w:tc>
          <w:tcPr>
            <w:tcW w:w="7957" w:type="dxa"/>
            <w:tcBorders>
              <w:top w:val="nil"/>
              <w:left w:val="nil"/>
              <w:bottom w:val="single" w:color="auto" w:sz="4" w:space="0"/>
              <w:right w:val="single" w:color="auto" w:sz="4" w:space="0"/>
            </w:tcBorders>
            <w:noWrap w:val="0"/>
            <w:vAlign w:val="center"/>
          </w:tcPr>
          <w:p w14:paraId="0A060F7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1.按公司要求做好管理区域巡逻，并及时做好巡逻工作记录。巡查频次按照公司《大管家巡更管理制度》要求执行，严禁弄虚作假。</w:t>
            </w:r>
          </w:p>
        </w:tc>
      </w:tr>
      <w:tr w14:paraId="063BF7F0">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330ACE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6AB0660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2.《巡逻记录本》应随身携带，并及时记录巡逻中发现的问题，并及时向客户服务中心（夜间：中控室）反映。夜间巡逻岗应配置手持电筒，以便巡逻过程中对安全隐患区域排查。</w:t>
            </w:r>
          </w:p>
        </w:tc>
      </w:tr>
      <w:tr w14:paraId="2DFC0A14">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59B8CF87">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5A77C3A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3.现场重要的安全标识、标示无脱落。发现可疑人员盘查、核实、驱逐。发现公共设施损坏坏时，及时上报记录。公共秩序良好，无乱摆卖现象。</w:t>
            </w:r>
          </w:p>
        </w:tc>
      </w:tr>
      <w:tr w14:paraId="1DD38DA9">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1537DD1">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7D339FC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4.园区消防通道车辆停放管理、游泳池、设备设施异常情况。楼层及消防通道安全隐患排查（消防通道保持畅通，不得堆放杂物等）。园区摄像头、围墙周界系统正常运行测试，且无障碍物遮档。</w:t>
            </w:r>
          </w:p>
        </w:tc>
      </w:tr>
      <w:tr w14:paraId="5D52B369">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11D69691">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39402A0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5.遇提重物或行动不便的住户，应主动上前提供帮助。巡逻员应负责业主专用手推车、业主专用伞具的回收管理。</w:t>
            </w:r>
          </w:p>
        </w:tc>
      </w:tr>
      <w:tr w14:paraId="000F4B7E">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1398D33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2F615FD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车场管理员建立车位管台账，已售车位、月租车位及临停车位信息准确、明晰。车场管理员负责每月28日前与客户服务中心进行一次车位使用信息核对、更新。收到地产已售车位信息3个工作日内，应将“私家车位”（“专属车位”）标识牌规范张挂（如地产公司未提供标识牌，应在醒目位置张贴纸制标识），并完善相关公示信息。确保车库所有限速、导视标识等清晰完好在位。保持车库地面、设施设备的清洁卫生良好。</w:t>
            </w:r>
          </w:p>
        </w:tc>
      </w:tr>
      <w:tr w14:paraId="730D91D5">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bottom"/>
          </w:tcPr>
          <w:p w14:paraId="20103C66">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监控室管理</w:t>
            </w:r>
          </w:p>
        </w:tc>
        <w:tc>
          <w:tcPr>
            <w:tcW w:w="7957" w:type="dxa"/>
            <w:tcBorders>
              <w:top w:val="nil"/>
              <w:left w:val="nil"/>
              <w:bottom w:val="single" w:color="auto" w:sz="4" w:space="0"/>
              <w:right w:val="single" w:color="auto" w:sz="4" w:space="0"/>
            </w:tcBorders>
            <w:noWrap w:val="0"/>
            <w:vAlign w:val="center"/>
          </w:tcPr>
          <w:p w14:paraId="5212E178">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val="en-US" w:eastAsia="zh-CN"/>
              </w:rPr>
              <w:t>1.</w:t>
            </w:r>
            <w:r>
              <w:rPr>
                <w:rFonts w:hint="eastAsia" w:ascii="方正仿宋_GBK" w:hAnsi="方正仿宋_GBK" w:eastAsia="方正仿宋_GBK" w:cs="方正仿宋_GBK"/>
                <w:sz w:val="21"/>
                <w:szCs w:val="21"/>
              </w:rPr>
              <w:t>值班人员应定期对消防控制系统设备及通讯器材进行检查，以确保运行良好性。熟悉消防通道、现场紧急疏散路线及火灾等应急预案处理流程。发生险情，应尽快确认，及时启动消防设备。必要时，迅速拨打119火警电话。夜间组织各岗位按时间要求进行报岗。常用的联系电话准确无误。信息处理及时，联络顺畅，可疑情况监控到位有记录。</w:t>
            </w:r>
          </w:p>
        </w:tc>
      </w:tr>
      <w:tr w14:paraId="3D51AF4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045F76E">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751A6C4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2.每周与巡逻队员进行联动，对园区周界系统（红外报警及电子围栏）、单元门禁、电梯三方对讲等进行检查测试，确保设施设备运行正常。</w:t>
            </w:r>
          </w:p>
        </w:tc>
      </w:tr>
      <w:tr w14:paraId="1B6DDD48">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60624685">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1DABE671">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客户来访：应配合门岗值班人员做好来访客户身份确认及记录工作。熟悉电话接听服务标准及报事处理流程，配合客户服务中心做好客户电话报事接待工作，并做好相关工作记录。客户服务中心工作时间中控室接到报事后，应立即将信息反馈至客户服务中心处理；非客户服务中心工作时间中控室直接联系专业服务部门/人员处理，报事及处理信息于次日上午9时前向客户服务中心反馈。注意：不得出现误报、漏报等现象。</w:t>
            </w:r>
          </w:p>
        </w:tc>
      </w:tr>
      <w:tr w14:paraId="5F77FC7D">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2E338FC7">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46FD48A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非中控室值班人员未经允许不得入内。如遇公司品质巡检或消防部门检查等特殊情况，非值班人员进入中控室之前，首先应核实其身份后方可进入，同时，按要求在《来访人员登记表》中完善登记信息。负责中控室办公环境清洁卫生，保持室内干燥及合适温度（20—26摄氏度为宜）。</w:t>
            </w:r>
          </w:p>
        </w:tc>
      </w:tr>
      <w:tr w14:paraId="538A9324">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6A28A4F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79E058E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5.妥善保存各项监控资料，未经公司相关领导同意，任何人不得无故中断监控或删除监控资料，不得将临控数据资料、图像资料复制给其他单位或个人。严禁使用监控设备做与工作无关的事情。</w:t>
            </w:r>
          </w:p>
        </w:tc>
      </w:tr>
      <w:tr w14:paraId="343F60E1">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27C8835D">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消防管理</w:t>
            </w:r>
          </w:p>
        </w:tc>
        <w:tc>
          <w:tcPr>
            <w:tcW w:w="7957" w:type="dxa"/>
            <w:tcBorders>
              <w:top w:val="nil"/>
              <w:left w:val="nil"/>
              <w:bottom w:val="single" w:color="auto" w:sz="4" w:space="0"/>
              <w:right w:val="single" w:color="auto" w:sz="4" w:space="0"/>
            </w:tcBorders>
            <w:noWrap w:val="0"/>
            <w:vAlign w:val="center"/>
          </w:tcPr>
          <w:p w14:paraId="0AB8EAE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火灾报警控制器、联动控制器、楼层复示器、探测器、手报等完好。探测器进行模拟火灾响应试验和故障报警试验，反应正常。手动报警按钮进行模拟火灾响应试验和故障报警试验，反应正常。测试手动和自动试验相关消防联动控制设备的控制和显示功能，反应正常。利用报警阀上的放水试验阀放水，试验系统供水情况，测试报警阀，水力警铃，压力信号等正常．水压正常。室内外消火栓，水泵接合器设施等完好。对屋顶消火栓或最不利点消火栓进行出水试验，检查网压力和水质及消防储水量，反应正常。试验与消防控制室联动功能。信号反馈功正常。室内外灭火器气压达标，符合使用要求。</w:t>
            </w:r>
          </w:p>
        </w:tc>
      </w:tr>
      <w:tr w14:paraId="360691CA">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1B2ED0C4">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center"/>
          </w:tcPr>
          <w:p w14:paraId="5C1865FD">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2.室内外消火栓、灭火器每月至少检查一次，并在检查记录表中签字确认。如遇对外张贴的检查记录/封条等出现破损，应及时更换。</w:t>
            </w:r>
          </w:p>
        </w:tc>
      </w:tr>
      <w:tr w14:paraId="5C1F7FC0">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2A714080">
            <w:pPr>
              <w:spacing w:line="240" w:lineRule="auto"/>
              <w:ind w:firstLine="0" w:firstLineChars="0"/>
              <w:rPr>
                <w:rFonts w:hint="eastAsia" w:ascii="方正仿宋_GBK" w:hAnsi="方正仿宋_GBK" w:cs="方正仿宋_GBK"/>
                <w:sz w:val="21"/>
                <w:szCs w:val="21"/>
              </w:rPr>
            </w:pPr>
          </w:p>
          <w:p w14:paraId="46AECDA4">
            <w:pPr>
              <w:spacing w:line="240" w:lineRule="auto"/>
              <w:ind w:firstLine="0" w:firstLineChars="0"/>
              <w:rPr>
                <w:rFonts w:hint="eastAsia" w:ascii="方正仿宋_GBK" w:hAnsi="方正仿宋_GBK" w:cs="方正仿宋_GBK"/>
                <w:sz w:val="21"/>
                <w:szCs w:val="21"/>
              </w:rPr>
            </w:pPr>
          </w:p>
          <w:p w14:paraId="773BE2A0">
            <w:pPr>
              <w:spacing w:line="240" w:lineRule="auto"/>
              <w:ind w:firstLine="0" w:firstLineChars="0"/>
              <w:rPr>
                <w:rFonts w:hint="eastAsia" w:ascii="方正仿宋_GBK" w:hAnsi="方正仿宋_GBK" w:cs="方正仿宋_GBK"/>
                <w:sz w:val="21"/>
                <w:szCs w:val="21"/>
              </w:rPr>
            </w:pPr>
          </w:p>
          <w:p w14:paraId="7E113E9B">
            <w:pPr>
              <w:spacing w:line="240" w:lineRule="auto"/>
              <w:ind w:firstLine="0" w:firstLineChars="0"/>
              <w:rPr>
                <w:rFonts w:hint="eastAsia" w:ascii="方正仿宋_GBK" w:hAnsi="方正仿宋_GBK" w:cs="方正仿宋_GBK"/>
                <w:sz w:val="21"/>
                <w:szCs w:val="21"/>
              </w:rPr>
            </w:pPr>
          </w:p>
          <w:p w14:paraId="4D4F215C">
            <w:pPr>
              <w:spacing w:line="240" w:lineRule="auto"/>
              <w:ind w:firstLine="0" w:firstLineChars="0"/>
              <w:rPr>
                <w:rFonts w:hint="eastAsia" w:ascii="方正仿宋_GBK" w:hAnsi="方正仿宋_GBK" w:cs="方正仿宋_GBK"/>
                <w:sz w:val="21"/>
                <w:szCs w:val="21"/>
              </w:rPr>
            </w:pPr>
          </w:p>
          <w:p w14:paraId="65A916CC">
            <w:pPr>
              <w:spacing w:line="240" w:lineRule="auto"/>
              <w:ind w:firstLine="0" w:firstLineChars="0"/>
              <w:rPr>
                <w:rFonts w:hint="eastAsia" w:ascii="方正仿宋_GBK" w:hAnsi="方正仿宋_GBK" w:cs="方正仿宋_GBK"/>
                <w:sz w:val="21"/>
                <w:szCs w:val="21"/>
              </w:rPr>
            </w:pPr>
          </w:p>
          <w:p w14:paraId="01BEF9A6">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突发事件处理</w:t>
            </w:r>
          </w:p>
        </w:tc>
        <w:tc>
          <w:tcPr>
            <w:tcW w:w="7957" w:type="dxa"/>
            <w:tcBorders>
              <w:top w:val="nil"/>
              <w:left w:val="nil"/>
              <w:bottom w:val="single" w:color="auto" w:sz="4" w:space="0"/>
              <w:right w:val="single" w:color="auto" w:sz="4" w:space="0"/>
            </w:tcBorders>
            <w:noWrap w:val="0"/>
            <w:vAlign w:val="bottom"/>
          </w:tcPr>
          <w:p w14:paraId="3FEA8349">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1、所有秩序人员须对各类应急流程熟悉，并掌握各项应急处置技能。</w:t>
            </w:r>
          </w:p>
        </w:tc>
      </w:tr>
      <w:tr w14:paraId="171ABEC4">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237C169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D4397A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2、园区所有紧急情况当值秩序员须在接到通知后3分钟赶到现场，10层以上楼层5分钟赶到现场。</w:t>
            </w:r>
          </w:p>
        </w:tc>
      </w:tr>
      <w:tr w14:paraId="5072AFC5">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F6FF705">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F37D04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3、园区如发生各类突发事件、紧急情况须第一时间报告，并根据不同事件类别做出妥善处理。</w:t>
            </w:r>
          </w:p>
        </w:tc>
      </w:tr>
      <w:tr w14:paraId="1F715DC4">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08631288">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5A8AEF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 xml:space="preserve">4、临时停电处理：立即排查电梯是否有人员被困，如有人员将困应立即安抚并通知工程和电梯维保人员进行施救；向工程部了解停电原因，告知管理处前台并向客户做好解释工作；各岗位员工保持高度警惕，协助解决各种突发事情并严防人员趁机作案；恢复供电后，应立即巡视园区/楼层排除安全隐患。如停电时间较长，应提醒客服中心打印温馨提示在园区告示栏张贴，并做好相关宣传解释工作。必要时，准备足量蜡烛在小区主出入口发放。 </w:t>
            </w:r>
          </w:p>
        </w:tc>
      </w:tr>
      <w:tr w14:paraId="6B651CA3">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17529398">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D5D7A13">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5、遇客户受伤或发病：第一时间赶到现场。立即报告项目值班经理和</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，在有可能的情况下，通知住户的单位及家属快速至现场。如情况危急，速打急救电话120。</w:t>
            </w:r>
          </w:p>
        </w:tc>
      </w:tr>
      <w:tr w14:paraId="44FE6FF9">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D5F3F8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AC6595E">
            <w:pPr>
              <w:adjustRightInd/>
              <w:snapToGrid/>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6、火灾事故处理：秩序员接到火灾报警时，严守各自岗位待命。做好安全防范工作，以防坏人浑水摸鱼、趁火打劫。消防控制室值班人员将电梯迫降至首层，消防电梯进入消防状态。所有员工应听从指挥，无条件服从领导及现场总指挥调配，按照分工，各司其责，在确保自身安全的前题下，积极扑救抢险。现场若困有住户，应本着“先人员，后财产”的原则抢救。若室内无人，无钥匙开门的情况下，则由</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或秩序</w:t>
            </w:r>
            <w:r>
              <w:rPr>
                <w:rFonts w:hint="eastAsia" w:ascii="方正仿宋_GBK" w:hAnsi="方正仿宋_GBK" w:eastAsia="方正仿宋_GBK" w:cs="方正仿宋_GBK"/>
                <w:sz w:val="21"/>
                <w:szCs w:val="21"/>
                <w:lang w:val="en-US" w:eastAsia="zh-CN"/>
              </w:rPr>
              <w:t>班</w:t>
            </w:r>
            <w:r>
              <w:rPr>
                <w:rFonts w:hint="eastAsia" w:ascii="方正仿宋_GBK" w:hAnsi="方正仿宋_GBK" w:eastAsia="方正仿宋_GBK" w:cs="方正仿宋_GBK"/>
                <w:sz w:val="21"/>
                <w:szCs w:val="21"/>
              </w:rPr>
              <w:t>长决定是否破门进入房间扑救，事后由管理处负责向住户做解释工作。疏散人员时应走消防楼梯，严禁使用电梯。扑救完毕后，管理处安排人员协助有关部门查明原因、查明损失，并做好安置工作。</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应做好事故记录，并提交书面报告至管理处。</w:t>
            </w:r>
          </w:p>
        </w:tc>
      </w:tr>
      <w:tr w14:paraId="0E202F44">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45538FC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708B50F">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可疑人员处理：门岗执勤中如发现可疑分子时，要盘查其证件，对持无效证件或说不出正当理由的人员禁止进入小区。巡逻执勤中发现可疑分子时，要查验其证件，必要时带到物业办公室进一步核查。发现有推销业务和散发广告的要坚决制止，可收缴其宣传资料；对不听从劝阻的，可带到物业办公室沟通处理，登记下证件号码，经教育后请出小区。在处理各类可疑人员时，须注意自身安全，同时不允许简单粗暴实施殴打及直接搜身，更不允许敲诈、勒索、私自罚款。如遇作案嫌疑人要严格盘查控制，并立即通知</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，由</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视情况进行报警处理。</w:t>
            </w:r>
          </w:p>
        </w:tc>
      </w:tr>
      <w:tr w14:paraId="79816FA6">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672FA37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809E19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8、盗抢事件处理：秩序员在执勤中遇有（或接报）公开使用暴力或其他手段（如打、砸、抢、偷等）强行索取或毁坏公司和住户财物或威胁住户人身安全的犯罪行为时，应在保障自身安全的同时，迅速采取措施制止犯罪。当发生突发案件时，要保持镇静，设法制服罪犯，同时立即通过通迅设备呼叫求援。所有持对讲机的机动巡逻秩序员在听到求援信号后，要立即赶到现场，同时通知监控室进行录像，门岗封锁小区出口，并立即向上级汇报。若犯罪分子逃跑，一时又追捕不上时，要看清人数、衣着、相貌、身体特征，所用交通工具及特征等，并及时写出书面报告，重大案件要立即拨“110”电话报警。有案发现场的（包括偷盗、抢劫现场）要保护现场，任何人不得擅自移动任何东西，包括罪犯分子留下的一切手印、脚印、烟头等，不得让外人进入现场；在公安机关未勘查现场或现场勘查完毕之前不能离开。记录住户及知情人员所提供的所有信息，记录被抢（盗）物品及价值，询问住户是否有任何线索、怀疑对象等情况。属流动作案没固定现场的，对犯罪分子遗留下的各种物品、作案工具等，应保护好现场待警方到场时提取，警方无法到场时可用钳子或其他工具提取，然后放进塑料袋内妥善保存交公安机关，切不可将秩序员或其他人员的指纹等痕迹留在物品上。事主或现场如有人员受伤，要立即设法尽快送医院医治抢救并报告公安机关。安全综合主管应做好现场记录，并提交书面报告至项目管理处。</w:t>
            </w:r>
          </w:p>
        </w:tc>
      </w:tr>
      <w:tr w14:paraId="23E24711">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1BFB484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6ABD4E2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9、打架斗殴处理：在执勤中（以及住户投诉中）发现住户之间有争吵、斗殴的现象要及时劝阻制止。制止的原则为：①劝阻双方住手、住口；②将争吵或斗殴的双方或一方住户劝离现场；③有伤员则先送伤员去医院救治。同时迅速报告</w:t>
            </w:r>
            <w:r>
              <w:rPr>
                <w:rFonts w:hint="eastAsia" w:ascii="方正仿宋_GBK" w:hAnsi="方正仿宋_GBK" w:eastAsia="方正仿宋_GBK" w:cs="方正仿宋_GBK"/>
                <w:sz w:val="21"/>
                <w:szCs w:val="21"/>
                <w:lang w:val="en-US" w:eastAsia="zh-CN"/>
              </w:rPr>
              <w:t>管理人员</w:t>
            </w:r>
            <w:r>
              <w:rPr>
                <w:rFonts w:hint="eastAsia" w:ascii="方正仿宋_GBK" w:hAnsi="方正仿宋_GBK" w:eastAsia="方正仿宋_GBK" w:cs="方正仿宋_GBK"/>
                <w:sz w:val="21"/>
                <w:szCs w:val="21"/>
              </w:rPr>
              <w:t>及管理处相关领导出面调解，如个人力量单薄，应请求增援。在制止争吵、斗殴双方时，应注意自身安全，同时切记不能动粗，不允许恶言相向。</w:t>
            </w:r>
          </w:p>
        </w:tc>
      </w:tr>
      <w:tr w14:paraId="4B36CEC8">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3217AB0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538AAF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10、醉酒闹事及精神病人处理：巡逻队员发现醉酒或精神病人失去理智，处于不能自控的状态下容易对自身或其他人员造成伤害时，应及时通知安全综合主管支援处理。对醉酒者或精神病人应判断其是否处于不能自控的状态，或易对自身或其他人员造成伤害，应及时对其采取控制和监督措施。如是熟悉或认识的醉酒者或精神病人，应设法立即通知其家人或工作单位，请其派人领回，并采取控制和监护措施。若醉酒或精神病人有危害社会公共秩序的行为，可立即采取有效措施制止其危害行为并报警，同时做好现场及过程取证工作。</w:t>
            </w:r>
          </w:p>
        </w:tc>
      </w:tr>
      <w:tr w14:paraId="7DBDE06F">
        <w:tblPrEx>
          <w:tblCellMar>
            <w:top w:w="0" w:type="dxa"/>
            <w:left w:w="108" w:type="dxa"/>
            <w:bottom w:w="0" w:type="dxa"/>
            <w:right w:w="108" w:type="dxa"/>
          </w:tblCellMar>
        </w:tblPrEx>
        <w:trPr>
          <w:trHeight w:val="285" w:hRule="atLeast"/>
        </w:trPr>
        <w:tc>
          <w:tcPr>
            <w:tcW w:w="1966" w:type="dxa"/>
            <w:vMerge w:val="continue"/>
            <w:tcBorders>
              <w:left w:val="single" w:color="auto" w:sz="4" w:space="0"/>
              <w:right w:val="single" w:color="auto" w:sz="4" w:space="0"/>
            </w:tcBorders>
            <w:noWrap w:val="0"/>
            <w:vAlign w:val="center"/>
          </w:tcPr>
          <w:p w14:paraId="3B4D20D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6A7FE8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11、触电事件处理：发现有人触电应马上赶到现场并关闭电源。在未关闭电源之前切不可用人体接触触电人员，以防自己也触电，应用绝缘的材料将触电人员从电源处分开。立即进行人工急救并拨打120送医处理。</w:t>
            </w:r>
          </w:p>
        </w:tc>
      </w:tr>
      <w:tr w14:paraId="5466D466">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707B93C3">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1792901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12、水浸事件处理：当接到住户投诉或报告后，立即前往现场观察。抵达现场后，立刻查找出水的来源，检查出水阀位置，并立即关闭有关水阀。下水道堵塞，应立即通知工程人员前来疏通。观察现场附近是否有电掣，如有浸水应立即切断电源，以防水浸漏电伤人。如属于喷淋排水应立即用水带将爆裂喷淋水引至附近排水口或下水道，并立即通知工程部人员至现场处理。</w:t>
            </w:r>
          </w:p>
        </w:tc>
      </w:tr>
      <w:tr w14:paraId="7A42F780">
        <w:tblPrEx>
          <w:tblCellMar>
            <w:top w:w="0" w:type="dxa"/>
            <w:left w:w="108" w:type="dxa"/>
            <w:bottom w:w="0" w:type="dxa"/>
            <w:right w:w="108" w:type="dxa"/>
          </w:tblCellMar>
        </w:tblPrEx>
        <w:trPr>
          <w:trHeight w:val="285" w:hRule="atLeast"/>
        </w:trPr>
        <w:tc>
          <w:tcPr>
            <w:tcW w:w="1966" w:type="dxa"/>
            <w:vMerge w:val="restart"/>
            <w:tcBorders>
              <w:left w:val="single" w:color="auto" w:sz="4" w:space="0"/>
              <w:right w:val="single" w:color="auto" w:sz="4" w:space="0"/>
            </w:tcBorders>
            <w:noWrap w:val="0"/>
            <w:vAlign w:val="center"/>
          </w:tcPr>
          <w:p w14:paraId="205156EA">
            <w:pPr>
              <w:spacing w:line="240" w:lineRule="auto"/>
              <w:ind w:firstLine="0" w:firstLineChars="0"/>
              <w:rPr>
                <w:rFonts w:hint="eastAsia" w:ascii="方正仿宋_GBK" w:hAnsi="方正仿宋_GBK" w:cs="方正仿宋_GBK"/>
                <w:sz w:val="21"/>
                <w:szCs w:val="21"/>
              </w:rPr>
            </w:pPr>
          </w:p>
          <w:p w14:paraId="4979C33D">
            <w:pPr>
              <w:spacing w:line="240" w:lineRule="auto"/>
              <w:ind w:firstLine="0" w:firstLineChars="0"/>
              <w:rPr>
                <w:rFonts w:hint="eastAsia" w:ascii="方正仿宋_GBK" w:hAnsi="方正仿宋_GBK" w:cs="方正仿宋_GBK"/>
                <w:sz w:val="21"/>
                <w:szCs w:val="21"/>
              </w:rPr>
            </w:pPr>
          </w:p>
          <w:p w14:paraId="6C908986">
            <w:pPr>
              <w:spacing w:line="240" w:lineRule="auto"/>
              <w:ind w:firstLine="0" w:firstLineChars="0"/>
              <w:rPr>
                <w:rFonts w:hint="eastAsia" w:ascii="方正仿宋_GBK" w:hAnsi="方正仿宋_GBK" w:cs="方正仿宋_GBK"/>
                <w:sz w:val="21"/>
                <w:szCs w:val="21"/>
              </w:rPr>
            </w:pPr>
          </w:p>
          <w:p w14:paraId="1389B2F4">
            <w:pPr>
              <w:spacing w:line="240" w:lineRule="auto"/>
              <w:ind w:firstLine="0" w:firstLineChars="0"/>
              <w:rPr>
                <w:rFonts w:hint="eastAsia" w:ascii="方正仿宋_GBK" w:hAnsi="方正仿宋_GBK" w:cs="方正仿宋_GBK"/>
                <w:sz w:val="21"/>
                <w:szCs w:val="21"/>
              </w:rPr>
            </w:pPr>
          </w:p>
          <w:p w14:paraId="507235EE">
            <w:pPr>
              <w:spacing w:line="240" w:lineRule="auto"/>
              <w:ind w:firstLine="0" w:firstLineChars="0"/>
              <w:rPr>
                <w:rFonts w:hint="eastAsia" w:ascii="方正仿宋_GBK" w:hAnsi="方正仿宋_GBK" w:cs="方正仿宋_GBK"/>
                <w:sz w:val="21"/>
                <w:szCs w:val="21"/>
              </w:rPr>
            </w:pPr>
          </w:p>
          <w:p w14:paraId="33C72762">
            <w:pPr>
              <w:spacing w:line="240" w:lineRule="auto"/>
              <w:ind w:firstLine="0" w:firstLineChars="0"/>
              <w:rPr>
                <w:rFonts w:hint="eastAsia" w:ascii="方正仿宋_GBK" w:hAnsi="方正仿宋_GBK" w:cs="方正仿宋_GBK"/>
                <w:sz w:val="21"/>
                <w:szCs w:val="21"/>
              </w:rPr>
            </w:pPr>
          </w:p>
          <w:p w14:paraId="411E30C7">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常规例行事务</w:t>
            </w:r>
          </w:p>
          <w:p w14:paraId="6F6B6A1A">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频次及标准</w:t>
            </w:r>
          </w:p>
        </w:tc>
        <w:tc>
          <w:tcPr>
            <w:tcW w:w="7957" w:type="dxa"/>
            <w:tcBorders>
              <w:top w:val="nil"/>
              <w:left w:val="nil"/>
              <w:bottom w:val="single" w:color="auto" w:sz="4" w:space="0"/>
              <w:right w:val="single" w:color="auto" w:sz="4" w:space="0"/>
            </w:tcBorders>
            <w:noWrap w:val="0"/>
            <w:vAlign w:val="bottom"/>
          </w:tcPr>
          <w:p w14:paraId="41063AA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电梯三方通话测试：每周一次全覆盖，故障立即报事跟进处理，记录完善。</w:t>
            </w:r>
          </w:p>
        </w:tc>
      </w:tr>
      <w:tr w14:paraId="4059D4AB">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6A4CE8B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B04CCD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周界（红外报警/电子围栏/园区围合）测试：每周一次全覆盖，故障立即报事跟进处理，记录完善。</w:t>
            </w:r>
          </w:p>
        </w:tc>
      </w:tr>
      <w:tr w14:paraId="6996FAD0">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78AF278A">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EC80FF7">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园区安全防范测试演练(入侵搜捕、户内报警、门岗暗访)每月一次。</w:t>
            </w:r>
          </w:p>
        </w:tc>
      </w:tr>
      <w:tr w14:paraId="76714C2A">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ACD1A77">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206F8D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电梯困人演练：每季度一次，协同项目其他部门进行。</w:t>
            </w:r>
          </w:p>
        </w:tc>
      </w:tr>
      <w:tr w14:paraId="7937745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4AD01A5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61B503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防汛演习：汛期来临前一次，协同项目其他部门进行。</w:t>
            </w:r>
          </w:p>
        </w:tc>
      </w:tr>
      <w:tr w14:paraId="1F1064F1">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6C1DE43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0D215E3A">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火灾应急疏散演练：每半年一次，协同项目进行。</w:t>
            </w:r>
          </w:p>
        </w:tc>
      </w:tr>
      <w:tr w14:paraId="3DF86090">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3812FAD8">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D8191D4">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门禁、监控、车管系统检查测试：每天一次，故障立即报事并跟进处理。</w:t>
            </w:r>
          </w:p>
        </w:tc>
      </w:tr>
      <w:tr w14:paraId="095EE564">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427B2BC2">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4548F2D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园区租赁户排查：每季度一次，项目主导，联系辖区政府职能部门参与，</w:t>
            </w: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安排秩序员配合完成。</w:t>
            </w:r>
          </w:p>
        </w:tc>
      </w:tr>
      <w:tr w14:paraId="66D321A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C2EE0A0">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7E01E1EE">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园区公共部位巡查：（含园区、车库、外围等）按《大管家巡更管理制度》要求落实执行，确保园区无占道、无闲杂人员聚集。</w:t>
            </w:r>
          </w:p>
        </w:tc>
      </w:tr>
      <w:tr w14:paraId="152819DF">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E3A12BC">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2ED01FBC">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园区消火栓、灭火器等巡检：每月一次全覆盖。要求记录填写完善，封条张贴规范，物资配备齐全（如有损坏遗失须立即上报</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进行配备）</w:t>
            </w:r>
          </w:p>
        </w:tc>
      </w:tr>
      <w:tr w14:paraId="0027BA03">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61813F6D">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8D90982">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园区消防巡查：每日不低于一次，确保各消防应急通道畅通率100%，各类火灾隐患及时发现，及时处置并记录。</w:t>
            </w:r>
          </w:p>
        </w:tc>
      </w:tr>
      <w:tr w14:paraId="3333E149">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3BC43229">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FD1DA0B">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商铺夜间推门检查：每日1次全覆盖，测试率100%。</w:t>
            </w:r>
          </w:p>
        </w:tc>
      </w:tr>
      <w:tr w14:paraId="5FF3A7C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562949CE">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07AE71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商铺巡查（每日循环巡查）：确保无外摆，无占道，施工、经营规范，夜间“三关一闭”执行良好。</w:t>
            </w:r>
          </w:p>
        </w:tc>
      </w:tr>
      <w:tr w14:paraId="1E1FF93A">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3BB2B92F">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3C65A3A0">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班长督勤：白班不低于3次，夜班不低于4次。标准为所有秩序岗位全覆盖。</w:t>
            </w:r>
          </w:p>
        </w:tc>
      </w:tr>
      <w:tr w14:paraId="124DCED8">
        <w:tblPrEx>
          <w:tblCellMar>
            <w:top w:w="0" w:type="dxa"/>
            <w:left w:w="108" w:type="dxa"/>
            <w:bottom w:w="0" w:type="dxa"/>
            <w:right w:w="108" w:type="dxa"/>
          </w:tblCellMar>
        </w:tblPrEx>
        <w:trPr>
          <w:trHeight w:val="285" w:hRule="atLeast"/>
        </w:trPr>
        <w:tc>
          <w:tcPr>
            <w:tcW w:w="1966" w:type="dxa"/>
            <w:vMerge w:val="continue"/>
            <w:tcBorders>
              <w:left w:val="single" w:color="auto" w:sz="4" w:space="0"/>
              <w:bottom w:val="single" w:color="auto" w:sz="4" w:space="0"/>
              <w:right w:val="single" w:color="auto" w:sz="4" w:space="0"/>
            </w:tcBorders>
            <w:noWrap w:val="0"/>
            <w:vAlign w:val="center"/>
          </w:tcPr>
          <w:p w14:paraId="027AAA1F">
            <w:pPr>
              <w:spacing w:line="240" w:lineRule="auto"/>
              <w:ind w:firstLine="0" w:firstLineChars="0"/>
              <w:jc w:val="center"/>
              <w:rPr>
                <w:rFonts w:hint="eastAsia" w:ascii="方正仿宋_GBK" w:hAnsi="方正仿宋_GBK" w:eastAsia="方正仿宋_GBK" w:cs="方正仿宋_GBK"/>
                <w:sz w:val="21"/>
                <w:szCs w:val="21"/>
              </w:rPr>
            </w:pPr>
          </w:p>
        </w:tc>
        <w:tc>
          <w:tcPr>
            <w:tcW w:w="7957" w:type="dxa"/>
            <w:tcBorders>
              <w:top w:val="nil"/>
              <w:left w:val="nil"/>
              <w:bottom w:val="single" w:color="auto" w:sz="4" w:space="0"/>
              <w:right w:val="single" w:color="auto" w:sz="4" w:space="0"/>
            </w:tcBorders>
            <w:noWrap w:val="0"/>
            <w:vAlign w:val="bottom"/>
          </w:tcPr>
          <w:p w14:paraId="59CEBFE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中控室服务：24小时专人值守，所有报事接待及时，记录完整，信息传递及事件跟进无遗漏。所有报警接警后30秒内安排出警，并持续跟进出警情况直至事件完结。</w:t>
            </w:r>
          </w:p>
        </w:tc>
      </w:tr>
      <w:tr w14:paraId="0CA6766A">
        <w:tblPrEx>
          <w:tblCellMar>
            <w:top w:w="0" w:type="dxa"/>
            <w:left w:w="108" w:type="dxa"/>
            <w:bottom w:w="0" w:type="dxa"/>
            <w:right w:w="108" w:type="dxa"/>
          </w:tblCellMar>
        </w:tblPrEx>
        <w:trPr>
          <w:trHeight w:val="285" w:hRule="atLeast"/>
        </w:trPr>
        <w:tc>
          <w:tcPr>
            <w:tcW w:w="1966" w:type="dxa"/>
            <w:tcBorders>
              <w:top w:val="nil"/>
              <w:left w:val="single" w:color="auto" w:sz="4" w:space="0"/>
              <w:bottom w:val="single" w:color="auto" w:sz="4" w:space="0"/>
              <w:right w:val="single" w:color="auto" w:sz="4" w:space="0"/>
            </w:tcBorders>
            <w:noWrap w:val="0"/>
            <w:vAlign w:val="center"/>
          </w:tcPr>
          <w:p w14:paraId="37A1F14D">
            <w:pPr>
              <w:spacing w:line="240" w:lineRule="auto"/>
              <w:ind w:firstLine="0" w:firstLineChars="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其他要求及标准</w:t>
            </w:r>
          </w:p>
        </w:tc>
        <w:tc>
          <w:tcPr>
            <w:tcW w:w="7957" w:type="dxa"/>
            <w:tcBorders>
              <w:top w:val="nil"/>
              <w:left w:val="nil"/>
              <w:bottom w:val="single" w:color="auto" w:sz="4" w:space="0"/>
              <w:right w:val="single" w:color="auto" w:sz="4" w:space="0"/>
            </w:tcBorders>
            <w:noWrap w:val="0"/>
            <w:vAlign w:val="bottom"/>
          </w:tcPr>
          <w:p w14:paraId="32AD37F5">
            <w:pPr>
              <w:spacing w:line="240" w:lineRule="auto"/>
              <w:ind w:firstLine="0" w:firstLineChars="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lang w:eastAsia="zh-CN"/>
              </w:rPr>
              <w:t>中选人</w:t>
            </w:r>
            <w:r>
              <w:rPr>
                <w:rFonts w:hint="eastAsia" w:ascii="方正仿宋_GBK" w:hAnsi="方正仿宋_GBK" w:eastAsia="方正仿宋_GBK" w:cs="方正仿宋_GBK"/>
                <w:sz w:val="21"/>
                <w:szCs w:val="21"/>
              </w:rPr>
              <w:t>派驻至</w:t>
            </w:r>
            <w:r>
              <w:rPr>
                <w:rFonts w:hint="eastAsia" w:ascii="方正仿宋_GBK" w:hAnsi="方正仿宋_GBK" w:eastAsia="方正仿宋_GBK" w:cs="方正仿宋_GBK"/>
                <w:sz w:val="21"/>
                <w:szCs w:val="21"/>
                <w:lang w:eastAsia="zh-CN"/>
              </w:rPr>
              <w:t>比选人</w:t>
            </w:r>
            <w:r>
              <w:rPr>
                <w:rFonts w:hint="eastAsia" w:ascii="方正仿宋_GBK" w:hAnsi="方正仿宋_GBK" w:eastAsia="方正仿宋_GBK" w:cs="方正仿宋_GBK"/>
                <w:sz w:val="21"/>
                <w:szCs w:val="21"/>
              </w:rPr>
              <w:t>的所有秩序岗位作业流程及标准须参照秩序专业作业体系执行。</w:t>
            </w:r>
          </w:p>
        </w:tc>
      </w:tr>
    </w:tbl>
    <w:p w14:paraId="0AEACF56">
      <w:pPr>
        <w:adjustRightInd w:val="0"/>
        <w:spacing w:line="360" w:lineRule="auto"/>
        <w:rPr>
          <w:szCs w:val="21"/>
        </w:rPr>
      </w:pPr>
      <w:r>
        <w:rPr>
          <w:rFonts w:hint="eastAsia"/>
          <w:szCs w:val="21"/>
        </w:rPr>
        <w:br w:type="page"/>
      </w:r>
      <w:r>
        <w:rPr>
          <w:rFonts w:hint="eastAsia"/>
          <w:szCs w:val="21"/>
        </w:rPr>
        <w:t>附件二：岗位定编</w:t>
      </w:r>
    </w:p>
    <w:p w14:paraId="3B5F2024">
      <w:pPr>
        <w:adjustRightInd w:val="0"/>
        <w:spacing w:line="360" w:lineRule="auto"/>
        <w:jc w:val="center"/>
        <w:rPr>
          <w:szCs w:val="21"/>
        </w:rPr>
      </w:pPr>
      <w:r>
        <w:rPr>
          <w:rFonts w:hint="eastAsia"/>
          <w:szCs w:val="21"/>
        </w:rPr>
        <w:t>项目秩序人员岗位定编表</w:t>
      </w:r>
    </w:p>
    <w:tbl>
      <w:tblPr>
        <w:tblStyle w:val="58"/>
        <w:tblW w:w="90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0"/>
        <w:gridCol w:w="2383"/>
        <w:gridCol w:w="1417"/>
        <w:gridCol w:w="1418"/>
        <w:gridCol w:w="3002"/>
      </w:tblGrid>
      <w:tr w14:paraId="4DC83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20" w:type="dxa"/>
            <w:noWrap w:val="0"/>
            <w:vAlign w:val="center"/>
          </w:tcPr>
          <w:p w14:paraId="49EE820A">
            <w:pPr>
              <w:adjustRightInd w:val="0"/>
              <w:spacing w:line="360" w:lineRule="auto"/>
              <w:ind w:firstLine="0" w:firstLineChars="0"/>
              <w:jc w:val="center"/>
              <w:rPr>
                <w:szCs w:val="21"/>
              </w:rPr>
            </w:pPr>
            <w:r>
              <w:rPr>
                <w:rFonts w:hint="eastAsia"/>
                <w:szCs w:val="21"/>
              </w:rPr>
              <w:t>序号</w:t>
            </w:r>
          </w:p>
        </w:tc>
        <w:tc>
          <w:tcPr>
            <w:tcW w:w="2383" w:type="dxa"/>
            <w:noWrap w:val="0"/>
            <w:vAlign w:val="center"/>
          </w:tcPr>
          <w:p w14:paraId="1605D9E6">
            <w:pPr>
              <w:adjustRightInd w:val="0"/>
              <w:spacing w:line="360" w:lineRule="auto"/>
              <w:ind w:firstLine="0" w:firstLineChars="0"/>
              <w:jc w:val="center"/>
              <w:rPr>
                <w:szCs w:val="21"/>
              </w:rPr>
            </w:pPr>
            <w:r>
              <w:rPr>
                <w:rFonts w:hint="eastAsia"/>
                <w:szCs w:val="21"/>
              </w:rPr>
              <w:t>岗位</w:t>
            </w:r>
          </w:p>
        </w:tc>
        <w:tc>
          <w:tcPr>
            <w:tcW w:w="1417" w:type="dxa"/>
            <w:noWrap w:val="0"/>
            <w:vAlign w:val="top"/>
          </w:tcPr>
          <w:p w14:paraId="13D3AEDC">
            <w:pPr>
              <w:adjustRightInd w:val="0"/>
              <w:spacing w:line="360" w:lineRule="auto"/>
              <w:ind w:firstLine="0" w:firstLineChars="0"/>
              <w:jc w:val="center"/>
              <w:rPr>
                <w:szCs w:val="21"/>
              </w:rPr>
            </w:pPr>
            <w:r>
              <w:rPr>
                <w:rFonts w:hint="eastAsia"/>
                <w:szCs w:val="21"/>
              </w:rPr>
              <w:t>岗位数量</w:t>
            </w:r>
          </w:p>
        </w:tc>
        <w:tc>
          <w:tcPr>
            <w:tcW w:w="1418" w:type="dxa"/>
            <w:noWrap w:val="0"/>
            <w:vAlign w:val="top"/>
          </w:tcPr>
          <w:p w14:paraId="0E1CAC87">
            <w:pPr>
              <w:adjustRightInd w:val="0"/>
              <w:spacing w:line="360" w:lineRule="auto"/>
              <w:ind w:firstLine="0" w:firstLineChars="0"/>
              <w:jc w:val="center"/>
              <w:rPr>
                <w:szCs w:val="21"/>
              </w:rPr>
            </w:pPr>
            <w:r>
              <w:rPr>
                <w:rFonts w:hint="eastAsia"/>
                <w:szCs w:val="21"/>
              </w:rPr>
              <w:t>人员编制</w:t>
            </w:r>
          </w:p>
        </w:tc>
        <w:tc>
          <w:tcPr>
            <w:tcW w:w="3002" w:type="dxa"/>
            <w:noWrap w:val="0"/>
            <w:vAlign w:val="center"/>
          </w:tcPr>
          <w:p w14:paraId="46718E2A">
            <w:pPr>
              <w:adjustRightInd w:val="0"/>
              <w:spacing w:line="360" w:lineRule="auto"/>
              <w:ind w:firstLine="0" w:firstLineChars="0"/>
              <w:jc w:val="center"/>
              <w:rPr>
                <w:szCs w:val="21"/>
              </w:rPr>
            </w:pPr>
            <w:r>
              <w:rPr>
                <w:rFonts w:hint="eastAsia"/>
                <w:szCs w:val="21"/>
              </w:rPr>
              <w:t>备注</w:t>
            </w:r>
          </w:p>
        </w:tc>
      </w:tr>
      <w:tr w14:paraId="5F580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14:paraId="51D2FF11">
            <w:pPr>
              <w:adjustRightInd w:val="0"/>
              <w:spacing w:line="360" w:lineRule="auto"/>
              <w:ind w:firstLine="42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383" w:type="dxa"/>
            <w:noWrap w:val="0"/>
            <w:vAlign w:val="center"/>
          </w:tcPr>
          <w:p w14:paraId="1FA1B5D6">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安全主管</w:t>
            </w:r>
          </w:p>
        </w:tc>
        <w:tc>
          <w:tcPr>
            <w:tcW w:w="1417" w:type="dxa"/>
            <w:noWrap w:val="0"/>
            <w:vAlign w:val="top"/>
          </w:tcPr>
          <w:p w14:paraId="4A65795E">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418" w:type="dxa"/>
            <w:noWrap w:val="0"/>
            <w:vAlign w:val="top"/>
          </w:tcPr>
          <w:p w14:paraId="59F18DF3">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3002" w:type="dxa"/>
            <w:noWrap w:val="0"/>
            <w:vAlign w:val="center"/>
          </w:tcPr>
          <w:p w14:paraId="1C248E73">
            <w:pPr>
              <w:adjustRightInd w:val="0"/>
              <w:spacing w:line="360" w:lineRule="auto"/>
              <w:ind w:firstLine="420" w:firstLineChars="0"/>
              <w:rPr>
                <w:rFonts w:hint="eastAsia" w:ascii="宋体" w:hAnsi="宋体" w:eastAsia="宋体" w:cs="宋体"/>
                <w:sz w:val="21"/>
                <w:szCs w:val="21"/>
              </w:rPr>
            </w:pPr>
          </w:p>
        </w:tc>
      </w:tr>
      <w:tr w14:paraId="36252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jc w:val="center"/>
        </w:trPr>
        <w:tc>
          <w:tcPr>
            <w:tcW w:w="820" w:type="dxa"/>
            <w:noWrap w:val="0"/>
            <w:vAlign w:val="center"/>
          </w:tcPr>
          <w:p w14:paraId="27B2DB10">
            <w:pPr>
              <w:adjustRightInd w:val="0"/>
              <w:spacing w:line="360" w:lineRule="auto"/>
              <w:ind w:firstLine="42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83" w:type="dxa"/>
            <w:noWrap w:val="0"/>
            <w:vAlign w:val="center"/>
          </w:tcPr>
          <w:p w14:paraId="21E7D5BE">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中控岗</w:t>
            </w:r>
          </w:p>
        </w:tc>
        <w:tc>
          <w:tcPr>
            <w:tcW w:w="1417" w:type="dxa"/>
            <w:noWrap w:val="0"/>
            <w:vAlign w:val="top"/>
          </w:tcPr>
          <w:p w14:paraId="48F6F0D0">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418" w:type="dxa"/>
            <w:noWrap w:val="0"/>
            <w:vAlign w:val="top"/>
          </w:tcPr>
          <w:p w14:paraId="586B4EF5">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3002" w:type="dxa"/>
            <w:noWrap w:val="0"/>
            <w:vAlign w:val="center"/>
          </w:tcPr>
          <w:p w14:paraId="0012F9C9">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白班2人，夜班2人</w:t>
            </w:r>
          </w:p>
        </w:tc>
      </w:tr>
      <w:tr w14:paraId="35F94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820" w:type="dxa"/>
            <w:tcBorders>
              <w:bottom w:val="single" w:color="auto" w:sz="4" w:space="0"/>
            </w:tcBorders>
            <w:noWrap w:val="0"/>
            <w:vAlign w:val="center"/>
          </w:tcPr>
          <w:p w14:paraId="4FF6D41E">
            <w:pPr>
              <w:adjustRightInd w:val="0"/>
              <w:spacing w:line="360" w:lineRule="auto"/>
              <w:ind w:firstLine="42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2383" w:type="dxa"/>
            <w:noWrap w:val="0"/>
            <w:vAlign w:val="center"/>
          </w:tcPr>
          <w:p w14:paraId="0C39DAB6">
            <w:pPr>
              <w:spacing w:line="420" w:lineRule="exact"/>
              <w:ind w:firstLine="420" w:firstLineChars="0"/>
              <w:jc w:val="center"/>
              <w:rPr>
                <w:rFonts w:hint="default" w:ascii="宋体" w:hAnsi="宋体" w:eastAsia="宋体" w:cs="宋体"/>
                <w:sz w:val="21"/>
                <w:szCs w:val="21"/>
                <w:lang w:val="en-US"/>
              </w:rPr>
            </w:pPr>
            <w:r>
              <w:rPr>
                <w:rFonts w:hint="eastAsia" w:ascii="宋体" w:hAnsi="宋体" w:eastAsia="宋体" w:cs="宋体"/>
                <w:sz w:val="21"/>
                <w:szCs w:val="21"/>
              </w:rPr>
              <w:t>秩序岗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形象岗</w:t>
            </w:r>
          </w:p>
        </w:tc>
        <w:tc>
          <w:tcPr>
            <w:tcW w:w="1417" w:type="dxa"/>
            <w:noWrap w:val="0"/>
            <w:vAlign w:val="top"/>
          </w:tcPr>
          <w:p w14:paraId="79F0B0D1">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418" w:type="dxa"/>
            <w:noWrap w:val="0"/>
            <w:vAlign w:val="top"/>
          </w:tcPr>
          <w:p w14:paraId="44EB4FF6">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3002" w:type="dxa"/>
            <w:noWrap w:val="0"/>
            <w:vAlign w:val="center"/>
          </w:tcPr>
          <w:p w14:paraId="15F18CC9">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白班3人，夜班1人</w:t>
            </w:r>
          </w:p>
        </w:tc>
      </w:tr>
      <w:tr w14:paraId="77160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820" w:type="dxa"/>
            <w:noWrap w:val="0"/>
            <w:vAlign w:val="center"/>
          </w:tcPr>
          <w:p w14:paraId="586DF392">
            <w:pPr>
              <w:adjustRightInd w:val="0"/>
              <w:spacing w:line="360" w:lineRule="auto"/>
              <w:ind w:firstLine="42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2383" w:type="dxa"/>
            <w:noWrap w:val="0"/>
            <w:vAlign w:val="top"/>
          </w:tcPr>
          <w:p w14:paraId="6ACF2910">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轮休</w:t>
            </w:r>
          </w:p>
        </w:tc>
        <w:tc>
          <w:tcPr>
            <w:tcW w:w="1417" w:type="dxa"/>
            <w:noWrap w:val="0"/>
            <w:vAlign w:val="top"/>
          </w:tcPr>
          <w:p w14:paraId="118D2367">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418" w:type="dxa"/>
            <w:noWrap w:val="0"/>
            <w:vAlign w:val="top"/>
          </w:tcPr>
          <w:p w14:paraId="46FE958A">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3002" w:type="dxa"/>
            <w:noWrap w:val="0"/>
            <w:vAlign w:val="center"/>
          </w:tcPr>
          <w:p w14:paraId="7B98A5CA">
            <w:pPr>
              <w:spacing w:line="420" w:lineRule="exact"/>
              <w:ind w:firstLine="420" w:firstLineChars="0"/>
              <w:jc w:val="center"/>
              <w:rPr>
                <w:rFonts w:hint="eastAsia" w:ascii="宋体" w:hAnsi="宋体" w:eastAsia="宋体" w:cs="宋体"/>
                <w:sz w:val="21"/>
                <w:szCs w:val="21"/>
              </w:rPr>
            </w:pPr>
            <w:r>
              <w:rPr>
                <w:rFonts w:hint="eastAsia" w:ascii="宋体" w:hAnsi="宋体" w:eastAsia="宋体" w:cs="宋体"/>
                <w:sz w:val="21"/>
                <w:szCs w:val="21"/>
              </w:rPr>
              <w:t>周末轮休需2人/天</w:t>
            </w:r>
          </w:p>
        </w:tc>
      </w:tr>
      <w:tr w14:paraId="01DC6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3203" w:type="dxa"/>
            <w:gridSpan w:val="2"/>
            <w:noWrap w:val="0"/>
            <w:vAlign w:val="center"/>
          </w:tcPr>
          <w:p w14:paraId="3BE1EFF4">
            <w:pPr>
              <w:adjustRightInd w:val="0"/>
              <w:spacing w:line="360" w:lineRule="auto"/>
              <w:ind w:left="1440" w:leftChars="600" w:firstLine="0" w:firstLineChars="0"/>
              <w:rPr>
                <w:rFonts w:hint="eastAsia" w:ascii="宋体" w:hAnsi="宋体" w:eastAsia="宋体" w:cs="宋体"/>
                <w:sz w:val="21"/>
                <w:szCs w:val="21"/>
              </w:rPr>
            </w:pPr>
            <w:r>
              <w:rPr>
                <w:rFonts w:hint="eastAsia" w:ascii="宋体" w:hAnsi="宋体" w:cs="宋体"/>
                <w:sz w:val="21"/>
                <w:szCs w:val="21"/>
              </w:rPr>
              <w:t xml:space="preserve"> </w:t>
            </w:r>
            <w:r>
              <w:rPr>
                <w:rFonts w:hint="eastAsia" w:ascii="宋体" w:hAnsi="宋体" w:eastAsia="宋体" w:cs="宋体"/>
                <w:sz w:val="21"/>
                <w:szCs w:val="21"/>
              </w:rPr>
              <w:t>月编制总人数</w:t>
            </w:r>
          </w:p>
        </w:tc>
        <w:tc>
          <w:tcPr>
            <w:tcW w:w="2835" w:type="dxa"/>
            <w:gridSpan w:val="2"/>
            <w:noWrap w:val="0"/>
            <w:vAlign w:val="top"/>
          </w:tcPr>
          <w:p w14:paraId="1C58A970">
            <w:pPr>
              <w:adjustRightInd w:val="0"/>
              <w:spacing w:line="360" w:lineRule="auto"/>
              <w:ind w:firstLine="0" w:firstLineChars="0"/>
              <w:jc w:val="center"/>
              <w:rPr>
                <w:rFonts w:ascii="宋体" w:hAnsi="宋体" w:eastAsia="宋体" w:cs="宋体"/>
                <w:sz w:val="21"/>
                <w:szCs w:val="21"/>
              </w:rPr>
            </w:pPr>
            <w:r>
              <w:rPr>
                <w:rFonts w:hint="eastAsia" w:ascii="宋体" w:hAnsi="宋体" w:cs="宋体"/>
                <w:sz w:val="21"/>
                <w:szCs w:val="21"/>
              </w:rPr>
              <w:t xml:space="preserve">                       10</w:t>
            </w:r>
          </w:p>
        </w:tc>
        <w:tc>
          <w:tcPr>
            <w:tcW w:w="3002" w:type="dxa"/>
            <w:noWrap w:val="0"/>
            <w:vAlign w:val="center"/>
          </w:tcPr>
          <w:p w14:paraId="63055CE6">
            <w:pPr>
              <w:adjustRightInd w:val="0"/>
              <w:spacing w:line="360" w:lineRule="auto"/>
              <w:ind w:firstLine="420" w:firstLineChars="0"/>
              <w:rPr>
                <w:rFonts w:hint="eastAsia" w:ascii="宋体" w:hAnsi="宋体" w:eastAsia="宋体" w:cs="宋体"/>
                <w:sz w:val="21"/>
                <w:szCs w:val="21"/>
              </w:rPr>
            </w:pPr>
          </w:p>
        </w:tc>
      </w:tr>
      <w:tr w14:paraId="07F3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jc w:val="center"/>
        </w:trPr>
        <w:tc>
          <w:tcPr>
            <w:tcW w:w="9040" w:type="dxa"/>
            <w:gridSpan w:val="5"/>
            <w:tcBorders>
              <w:bottom w:val="single" w:color="auto" w:sz="4" w:space="0"/>
            </w:tcBorders>
            <w:noWrap w:val="0"/>
            <w:vAlign w:val="center"/>
          </w:tcPr>
          <w:p w14:paraId="30D744F0">
            <w:pPr>
              <w:adjustRightInd w:val="0"/>
              <w:spacing w:line="360" w:lineRule="auto"/>
              <w:ind w:firstLine="420" w:firstLineChars="0"/>
              <w:rPr>
                <w:rFonts w:hint="eastAsia" w:ascii="宋体" w:hAnsi="宋体" w:eastAsia="宋体" w:cs="宋体"/>
                <w:sz w:val="21"/>
                <w:szCs w:val="21"/>
              </w:rPr>
            </w:pPr>
            <w:r>
              <w:rPr>
                <w:rFonts w:hint="eastAsia" w:ascii="宋体" w:hAnsi="宋体" w:eastAsia="宋体" w:cs="宋体"/>
                <w:sz w:val="21"/>
                <w:szCs w:val="21"/>
              </w:rPr>
              <w:t>备注：定编人员排班实行</w:t>
            </w:r>
            <w:r>
              <w:rPr>
                <w:rFonts w:hint="eastAsia" w:ascii="宋体" w:hAnsi="宋体" w:eastAsia="宋体" w:cs="宋体"/>
                <w:sz w:val="21"/>
                <w:szCs w:val="21"/>
                <w:u w:val="single"/>
              </w:rPr>
              <w:t xml:space="preserve">   12  </w:t>
            </w:r>
            <w:r>
              <w:rPr>
                <w:rFonts w:hint="eastAsia" w:ascii="宋体" w:hAnsi="宋体" w:eastAsia="宋体" w:cs="宋体"/>
                <w:sz w:val="21"/>
                <w:szCs w:val="21"/>
              </w:rPr>
              <w:t>小时</w:t>
            </w:r>
            <w:r>
              <w:rPr>
                <w:rFonts w:hint="eastAsia" w:ascii="宋体" w:hAnsi="宋体" w:eastAsia="宋体" w:cs="宋体"/>
                <w:sz w:val="21"/>
                <w:szCs w:val="21"/>
                <w:u w:val="single"/>
              </w:rPr>
              <w:t xml:space="preserve">  两  </w:t>
            </w:r>
            <w:r>
              <w:rPr>
                <w:rFonts w:hint="eastAsia" w:ascii="宋体" w:hAnsi="宋体" w:eastAsia="宋体" w:cs="宋体"/>
                <w:sz w:val="21"/>
                <w:szCs w:val="21"/>
              </w:rPr>
              <w:t>班倒，周休</w:t>
            </w:r>
            <w:r>
              <w:rPr>
                <w:rFonts w:hint="eastAsia" w:ascii="宋体" w:hAnsi="宋体" w:eastAsia="宋体" w:cs="宋体"/>
                <w:sz w:val="21"/>
                <w:szCs w:val="21"/>
                <w:u w:val="single"/>
              </w:rPr>
              <w:t xml:space="preserve">  1  </w:t>
            </w:r>
            <w:r>
              <w:rPr>
                <w:rFonts w:hint="eastAsia" w:ascii="宋体" w:hAnsi="宋体" w:eastAsia="宋体" w:cs="宋体"/>
                <w:sz w:val="21"/>
                <w:szCs w:val="21"/>
              </w:rPr>
              <w:t>天，包含轮休和节假日。</w:t>
            </w:r>
          </w:p>
        </w:tc>
      </w:tr>
    </w:tbl>
    <w:p w14:paraId="1803573E">
      <w:pPr>
        <w:adjustRightInd w:val="0"/>
        <w:spacing w:line="360" w:lineRule="auto"/>
        <w:ind w:firstLine="420"/>
        <w:rPr>
          <w:szCs w:val="21"/>
        </w:rPr>
      </w:pPr>
      <w:r>
        <w:rPr>
          <w:rFonts w:hint="eastAsia" w:ascii="宋体" w:hAnsi="宋体" w:eastAsia="宋体" w:cs="宋体"/>
          <w:sz w:val="21"/>
          <w:szCs w:val="21"/>
        </w:rPr>
        <w:br w:type="page"/>
      </w:r>
    </w:p>
    <w:p w14:paraId="67E1291C">
      <w:pPr>
        <w:adjustRightInd w:val="0"/>
        <w:spacing w:line="360" w:lineRule="auto"/>
        <w:rPr>
          <w:szCs w:val="21"/>
        </w:rPr>
      </w:pPr>
      <w:r>
        <w:rPr>
          <w:rFonts w:hint="eastAsia"/>
          <w:szCs w:val="21"/>
        </w:rPr>
        <w:t>附件三：装备机具配置</w:t>
      </w:r>
    </w:p>
    <w:p w14:paraId="0B70D740">
      <w:pPr>
        <w:adjustRightInd w:val="0"/>
        <w:spacing w:line="360" w:lineRule="auto"/>
        <w:ind w:firstLine="643"/>
        <w:jc w:val="center"/>
        <w:rPr>
          <w:szCs w:val="21"/>
        </w:rPr>
      </w:pPr>
      <w:r>
        <w:rPr>
          <w:rFonts w:hint="eastAsia" w:ascii="宋体" w:hAnsi="宋体" w:eastAsia="宋体" w:cs="宋体"/>
          <w:b/>
          <w:sz w:val="32"/>
          <w:szCs w:val="32"/>
          <w:u w:val="single"/>
        </w:rPr>
        <w:t>英诺双创</w:t>
      </w:r>
      <w:r>
        <w:rPr>
          <w:rFonts w:hint="eastAsia" w:ascii="宋体" w:hAnsi="宋体" w:eastAsia="宋体" w:cs="宋体"/>
          <w:b/>
          <w:sz w:val="32"/>
          <w:szCs w:val="32"/>
        </w:rPr>
        <w:t>项目装备机具配置表</w:t>
      </w:r>
    </w:p>
    <w:tbl>
      <w:tblPr>
        <w:tblStyle w:val="58"/>
        <w:tblW w:w="86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2"/>
        <w:gridCol w:w="2001"/>
        <w:gridCol w:w="2112"/>
        <w:gridCol w:w="3276"/>
      </w:tblGrid>
      <w:tr w14:paraId="3A434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302" w:type="dxa"/>
            <w:noWrap w:val="0"/>
            <w:vAlign w:val="center"/>
          </w:tcPr>
          <w:p w14:paraId="28FA5FBC">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001" w:type="dxa"/>
            <w:noWrap w:val="0"/>
            <w:vAlign w:val="center"/>
          </w:tcPr>
          <w:p w14:paraId="6E24D9C3">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2112" w:type="dxa"/>
            <w:noWrap w:val="0"/>
            <w:vAlign w:val="center"/>
          </w:tcPr>
          <w:p w14:paraId="0CF5318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数量</w:t>
            </w:r>
          </w:p>
        </w:tc>
        <w:tc>
          <w:tcPr>
            <w:tcW w:w="3276" w:type="dxa"/>
            <w:noWrap w:val="0"/>
            <w:vAlign w:val="center"/>
          </w:tcPr>
          <w:p w14:paraId="26CBACE2">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备注</w:t>
            </w:r>
          </w:p>
        </w:tc>
      </w:tr>
      <w:tr w14:paraId="33585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6EB9CD3F">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w:t>
            </w:r>
          </w:p>
        </w:tc>
        <w:tc>
          <w:tcPr>
            <w:tcW w:w="2001" w:type="dxa"/>
            <w:noWrap w:val="0"/>
            <w:vAlign w:val="center"/>
          </w:tcPr>
          <w:p w14:paraId="4B6EC5E2">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移动消防站</w:t>
            </w:r>
          </w:p>
        </w:tc>
        <w:tc>
          <w:tcPr>
            <w:tcW w:w="2112" w:type="dxa"/>
            <w:noWrap w:val="0"/>
            <w:vAlign w:val="center"/>
          </w:tcPr>
          <w:p w14:paraId="7B503D61">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3276" w:type="dxa"/>
            <w:vMerge w:val="restart"/>
            <w:noWrap w:val="0"/>
            <w:vAlign w:val="center"/>
          </w:tcPr>
          <w:p w14:paraId="2A5CBB26">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乙方提供产品外观、型号及logo按甲方指定标准配置。</w:t>
            </w:r>
          </w:p>
        </w:tc>
      </w:tr>
      <w:tr w14:paraId="700BC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5847234B">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2001" w:type="dxa"/>
            <w:noWrap w:val="0"/>
            <w:vAlign w:val="center"/>
          </w:tcPr>
          <w:p w14:paraId="0A2FD9A3">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疏散引导指示箱</w:t>
            </w:r>
          </w:p>
        </w:tc>
        <w:tc>
          <w:tcPr>
            <w:tcW w:w="2112" w:type="dxa"/>
            <w:noWrap w:val="0"/>
            <w:vAlign w:val="center"/>
          </w:tcPr>
          <w:p w14:paraId="63673517">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15</w:t>
            </w:r>
          </w:p>
        </w:tc>
        <w:tc>
          <w:tcPr>
            <w:tcW w:w="3276" w:type="dxa"/>
            <w:vMerge w:val="continue"/>
            <w:noWrap w:val="0"/>
            <w:vAlign w:val="center"/>
          </w:tcPr>
          <w:p w14:paraId="3C848E4B">
            <w:pPr>
              <w:spacing w:line="420" w:lineRule="exact"/>
              <w:ind w:firstLine="420"/>
              <w:jc w:val="center"/>
              <w:rPr>
                <w:rFonts w:hint="eastAsia" w:ascii="宋体" w:hAnsi="宋体" w:eastAsia="宋体" w:cs="宋体"/>
                <w:sz w:val="21"/>
                <w:szCs w:val="21"/>
              </w:rPr>
            </w:pPr>
          </w:p>
        </w:tc>
      </w:tr>
      <w:tr w14:paraId="1B94B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181E2B1E">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3</w:t>
            </w:r>
          </w:p>
        </w:tc>
        <w:tc>
          <w:tcPr>
            <w:tcW w:w="2001" w:type="dxa"/>
            <w:noWrap w:val="0"/>
            <w:vAlign w:val="center"/>
          </w:tcPr>
          <w:p w14:paraId="4574009D">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防刺服</w:t>
            </w:r>
          </w:p>
        </w:tc>
        <w:tc>
          <w:tcPr>
            <w:tcW w:w="2112" w:type="dxa"/>
            <w:noWrap w:val="0"/>
            <w:vAlign w:val="center"/>
          </w:tcPr>
          <w:p w14:paraId="72EE1520">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3276" w:type="dxa"/>
            <w:vMerge w:val="continue"/>
            <w:noWrap w:val="0"/>
            <w:vAlign w:val="center"/>
          </w:tcPr>
          <w:p w14:paraId="4BEE4A69">
            <w:pPr>
              <w:spacing w:line="420" w:lineRule="exact"/>
              <w:ind w:firstLine="420"/>
              <w:jc w:val="center"/>
              <w:rPr>
                <w:rFonts w:hint="eastAsia" w:ascii="宋体" w:hAnsi="宋体" w:eastAsia="宋体" w:cs="宋体"/>
                <w:sz w:val="21"/>
                <w:szCs w:val="21"/>
              </w:rPr>
            </w:pPr>
          </w:p>
        </w:tc>
      </w:tr>
      <w:tr w14:paraId="13641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3BF3AE85">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4</w:t>
            </w:r>
          </w:p>
        </w:tc>
        <w:tc>
          <w:tcPr>
            <w:tcW w:w="2001" w:type="dxa"/>
            <w:noWrap w:val="0"/>
            <w:vAlign w:val="center"/>
          </w:tcPr>
          <w:p w14:paraId="6865DDCB">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防暴钢叉</w:t>
            </w:r>
          </w:p>
        </w:tc>
        <w:tc>
          <w:tcPr>
            <w:tcW w:w="2112" w:type="dxa"/>
            <w:noWrap w:val="0"/>
            <w:vAlign w:val="center"/>
          </w:tcPr>
          <w:p w14:paraId="4BD0A174">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3276" w:type="dxa"/>
            <w:vMerge w:val="continue"/>
            <w:noWrap w:val="0"/>
            <w:vAlign w:val="center"/>
          </w:tcPr>
          <w:p w14:paraId="1A7B3646">
            <w:pPr>
              <w:spacing w:line="420" w:lineRule="exact"/>
              <w:ind w:firstLine="420"/>
              <w:jc w:val="center"/>
              <w:rPr>
                <w:rFonts w:hint="eastAsia" w:ascii="宋体" w:hAnsi="宋体" w:eastAsia="宋体" w:cs="宋体"/>
                <w:sz w:val="21"/>
                <w:szCs w:val="21"/>
              </w:rPr>
            </w:pPr>
          </w:p>
        </w:tc>
      </w:tr>
      <w:tr w14:paraId="5AB61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3EF86CD7">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5</w:t>
            </w:r>
          </w:p>
        </w:tc>
        <w:tc>
          <w:tcPr>
            <w:tcW w:w="2001" w:type="dxa"/>
            <w:noWrap w:val="0"/>
            <w:vAlign w:val="center"/>
          </w:tcPr>
          <w:p w14:paraId="76FACB94">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防暴盾牌</w:t>
            </w:r>
          </w:p>
        </w:tc>
        <w:tc>
          <w:tcPr>
            <w:tcW w:w="2112" w:type="dxa"/>
            <w:noWrap w:val="0"/>
            <w:vAlign w:val="center"/>
          </w:tcPr>
          <w:p w14:paraId="60F16568">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3276" w:type="dxa"/>
            <w:vMerge w:val="continue"/>
            <w:noWrap w:val="0"/>
            <w:vAlign w:val="center"/>
          </w:tcPr>
          <w:p w14:paraId="1F3369EE">
            <w:pPr>
              <w:spacing w:line="420" w:lineRule="exact"/>
              <w:ind w:firstLine="420"/>
              <w:jc w:val="center"/>
              <w:rPr>
                <w:rFonts w:hint="eastAsia" w:ascii="宋体" w:hAnsi="宋体" w:eastAsia="宋体" w:cs="宋体"/>
                <w:sz w:val="21"/>
                <w:szCs w:val="21"/>
              </w:rPr>
            </w:pPr>
          </w:p>
        </w:tc>
      </w:tr>
      <w:tr w14:paraId="0BF1D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5286C3BD">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6</w:t>
            </w:r>
          </w:p>
        </w:tc>
        <w:tc>
          <w:tcPr>
            <w:tcW w:w="2001" w:type="dxa"/>
            <w:noWrap w:val="0"/>
            <w:vAlign w:val="center"/>
          </w:tcPr>
          <w:p w14:paraId="36DA7EAD">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防暴头盔</w:t>
            </w:r>
          </w:p>
        </w:tc>
        <w:tc>
          <w:tcPr>
            <w:tcW w:w="2112" w:type="dxa"/>
            <w:noWrap w:val="0"/>
            <w:vAlign w:val="center"/>
          </w:tcPr>
          <w:p w14:paraId="496A4203">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3276" w:type="dxa"/>
            <w:vMerge w:val="continue"/>
            <w:noWrap w:val="0"/>
            <w:vAlign w:val="center"/>
          </w:tcPr>
          <w:p w14:paraId="71CA6694">
            <w:pPr>
              <w:spacing w:line="420" w:lineRule="exact"/>
              <w:ind w:firstLine="420"/>
              <w:jc w:val="center"/>
              <w:rPr>
                <w:rFonts w:hint="eastAsia" w:ascii="宋体" w:hAnsi="宋体" w:eastAsia="宋体" w:cs="宋体"/>
                <w:sz w:val="21"/>
                <w:szCs w:val="21"/>
              </w:rPr>
            </w:pPr>
          </w:p>
        </w:tc>
      </w:tr>
      <w:tr w14:paraId="7D200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47B87675">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7</w:t>
            </w:r>
          </w:p>
        </w:tc>
        <w:tc>
          <w:tcPr>
            <w:tcW w:w="2001" w:type="dxa"/>
            <w:noWrap w:val="0"/>
            <w:vAlign w:val="center"/>
          </w:tcPr>
          <w:p w14:paraId="30A50410">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雨衣</w:t>
            </w:r>
          </w:p>
        </w:tc>
        <w:tc>
          <w:tcPr>
            <w:tcW w:w="2112" w:type="dxa"/>
            <w:noWrap w:val="0"/>
            <w:vAlign w:val="center"/>
          </w:tcPr>
          <w:p w14:paraId="76E3A8EF">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6</w:t>
            </w:r>
          </w:p>
        </w:tc>
        <w:tc>
          <w:tcPr>
            <w:tcW w:w="3276" w:type="dxa"/>
            <w:vMerge w:val="continue"/>
            <w:noWrap w:val="0"/>
            <w:vAlign w:val="center"/>
          </w:tcPr>
          <w:p w14:paraId="63044726">
            <w:pPr>
              <w:spacing w:line="420" w:lineRule="exact"/>
              <w:ind w:firstLine="420"/>
              <w:jc w:val="center"/>
              <w:rPr>
                <w:rFonts w:hint="eastAsia" w:ascii="宋体" w:hAnsi="宋体" w:eastAsia="宋体" w:cs="宋体"/>
                <w:sz w:val="21"/>
                <w:szCs w:val="21"/>
              </w:rPr>
            </w:pPr>
          </w:p>
        </w:tc>
      </w:tr>
      <w:tr w14:paraId="6D0DD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505A76F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8</w:t>
            </w:r>
          </w:p>
        </w:tc>
        <w:tc>
          <w:tcPr>
            <w:tcW w:w="2001" w:type="dxa"/>
            <w:noWrap w:val="0"/>
            <w:vAlign w:val="center"/>
          </w:tcPr>
          <w:p w14:paraId="48DA59A9">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雨靴</w:t>
            </w:r>
          </w:p>
        </w:tc>
        <w:tc>
          <w:tcPr>
            <w:tcW w:w="2112" w:type="dxa"/>
            <w:noWrap w:val="0"/>
            <w:vAlign w:val="center"/>
          </w:tcPr>
          <w:p w14:paraId="7B3F199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6</w:t>
            </w:r>
          </w:p>
        </w:tc>
        <w:tc>
          <w:tcPr>
            <w:tcW w:w="3276" w:type="dxa"/>
            <w:vMerge w:val="continue"/>
            <w:noWrap w:val="0"/>
            <w:vAlign w:val="center"/>
          </w:tcPr>
          <w:p w14:paraId="467EE898">
            <w:pPr>
              <w:spacing w:line="420" w:lineRule="exact"/>
              <w:ind w:firstLine="420"/>
              <w:jc w:val="center"/>
              <w:rPr>
                <w:rFonts w:hint="eastAsia" w:ascii="宋体" w:hAnsi="宋体" w:eastAsia="宋体" w:cs="宋体"/>
                <w:sz w:val="21"/>
                <w:szCs w:val="21"/>
              </w:rPr>
            </w:pPr>
          </w:p>
        </w:tc>
      </w:tr>
      <w:tr w14:paraId="3E302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60DEF36C">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9</w:t>
            </w:r>
          </w:p>
        </w:tc>
        <w:tc>
          <w:tcPr>
            <w:tcW w:w="2001" w:type="dxa"/>
            <w:noWrap w:val="0"/>
            <w:vAlign w:val="center"/>
          </w:tcPr>
          <w:p w14:paraId="3D2FEEAD">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反光背心</w:t>
            </w:r>
          </w:p>
        </w:tc>
        <w:tc>
          <w:tcPr>
            <w:tcW w:w="2112" w:type="dxa"/>
            <w:noWrap w:val="0"/>
            <w:vAlign w:val="center"/>
          </w:tcPr>
          <w:p w14:paraId="55B19A2C">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6</w:t>
            </w:r>
          </w:p>
        </w:tc>
        <w:tc>
          <w:tcPr>
            <w:tcW w:w="3276" w:type="dxa"/>
            <w:vMerge w:val="continue"/>
            <w:noWrap w:val="0"/>
            <w:vAlign w:val="center"/>
          </w:tcPr>
          <w:p w14:paraId="2A8CF509">
            <w:pPr>
              <w:spacing w:line="420" w:lineRule="exact"/>
              <w:ind w:firstLine="420"/>
              <w:jc w:val="center"/>
              <w:rPr>
                <w:rFonts w:hint="eastAsia" w:ascii="宋体" w:hAnsi="宋体" w:eastAsia="宋体" w:cs="宋体"/>
                <w:sz w:val="21"/>
                <w:szCs w:val="21"/>
              </w:rPr>
            </w:pPr>
          </w:p>
        </w:tc>
      </w:tr>
      <w:tr w14:paraId="597F1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11A1E057">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10</w:t>
            </w:r>
          </w:p>
        </w:tc>
        <w:tc>
          <w:tcPr>
            <w:tcW w:w="2001" w:type="dxa"/>
            <w:noWrap w:val="0"/>
            <w:vAlign w:val="center"/>
          </w:tcPr>
          <w:p w14:paraId="5A841DC5">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锥桶</w:t>
            </w:r>
          </w:p>
        </w:tc>
        <w:tc>
          <w:tcPr>
            <w:tcW w:w="2112" w:type="dxa"/>
            <w:noWrap w:val="0"/>
            <w:vAlign w:val="center"/>
          </w:tcPr>
          <w:p w14:paraId="4AAC6345">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20</w:t>
            </w:r>
          </w:p>
        </w:tc>
        <w:tc>
          <w:tcPr>
            <w:tcW w:w="3276" w:type="dxa"/>
            <w:vMerge w:val="continue"/>
            <w:noWrap w:val="0"/>
            <w:vAlign w:val="center"/>
          </w:tcPr>
          <w:p w14:paraId="49300152">
            <w:pPr>
              <w:spacing w:line="420" w:lineRule="exact"/>
              <w:ind w:firstLine="420"/>
              <w:jc w:val="center"/>
              <w:rPr>
                <w:rFonts w:hint="eastAsia" w:ascii="宋体" w:hAnsi="宋体" w:eastAsia="宋体" w:cs="宋体"/>
                <w:sz w:val="21"/>
                <w:szCs w:val="21"/>
              </w:rPr>
            </w:pPr>
          </w:p>
        </w:tc>
      </w:tr>
      <w:tr w14:paraId="78E5E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61490768">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11</w:t>
            </w:r>
          </w:p>
        </w:tc>
        <w:tc>
          <w:tcPr>
            <w:tcW w:w="2001" w:type="dxa"/>
            <w:noWrap w:val="0"/>
            <w:vAlign w:val="center"/>
          </w:tcPr>
          <w:p w14:paraId="25E0369B">
            <w:pPr>
              <w:spacing w:line="420" w:lineRule="exact"/>
              <w:ind w:firstLine="420"/>
              <w:jc w:val="center"/>
              <w:rPr>
                <w:rFonts w:hint="eastAsia" w:ascii="宋体" w:hAnsi="宋体" w:eastAsia="宋体" w:cs="宋体"/>
                <w:sz w:val="21"/>
                <w:szCs w:val="21"/>
              </w:rPr>
            </w:pPr>
            <w:r>
              <w:rPr>
                <w:rFonts w:hint="eastAsia" w:ascii="宋体" w:hAnsi="宋体" w:eastAsia="宋体" w:cs="宋体"/>
                <w:color w:val="000000"/>
                <w:sz w:val="21"/>
                <w:szCs w:val="21"/>
                <w:lang w:bidi="ar"/>
              </w:rPr>
              <w:t>疏散指挥棒</w:t>
            </w:r>
          </w:p>
        </w:tc>
        <w:tc>
          <w:tcPr>
            <w:tcW w:w="2112" w:type="dxa"/>
            <w:noWrap w:val="0"/>
            <w:vAlign w:val="center"/>
          </w:tcPr>
          <w:p w14:paraId="3D6DCA2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6</w:t>
            </w:r>
          </w:p>
        </w:tc>
        <w:tc>
          <w:tcPr>
            <w:tcW w:w="3276" w:type="dxa"/>
            <w:vMerge w:val="continue"/>
            <w:noWrap w:val="0"/>
            <w:vAlign w:val="center"/>
          </w:tcPr>
          <w:p w14:paraId="06BB27C2">
            <w:pPr>
              <w:spacing w:line="420" w:lineRule="exact"/>
              <w:ind w:firstLine="420"/>
              <w:jc w:val="center"/>
              <w:rPr>
                <w:rFonts w:hint="eastAsia" w:ascii="宋体" w:hAnsi="宋体" w:eastAsia="宋体" w:cs="宋体"/>
                <w:sz w:val="21"/>
                <w:szCs w:val="21"/>
              </w:rPr>
            </w:pPr>
          </w:p>
        </w:tc>
      </w:tr>
      <w:tr w14:paraId="5BADB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3AE2D6AB">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12</w:t>
            </w:r>
          </w:p>
        </w:tc>
        <w:tc>
          <w:tcPr>
            <w:tcW w:w="2001" w:type="dxa"/>
            <w:noWrap w:val="0"/>
            <w:vAlign w:val="center"/>
          </w:tcPr>
          <w:p w14:paraId="735F5785">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巡逻警棍</w:t>
            </w:r>
          </w:p>
        </w:tc>
        <w:tc>
          <w:tcPr>
            <w:tcW w:w="2112" w:type="dxa"/>
            <w:noWrap w:val="0"/>
            <w:vAlign w:val="center"/>
          </w:tcPr>
          <w:p w14:paraId="5C3D26CB">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2</w:t>
            </w:r>
          </w:p>
        </w:tc>
        <w:tc>
          <w:tcPr>
            <w:tcW w:w="3276" w:type="dxa"/>
            <w:vMerge w:val="continue"/>
            <w:noWrap w:val="0"/>
            <w:vAlign w:val="center"/>
          </w:tcPr>
          <w:p w14:paraId="1B049FCF">
            <w:pPr>
              <w:spacing w:line="420" w:lineRule="exact"/>
              <w:ind w:firstLine="420"/>
              <w:jc w:val="center"/>
              <w:rPr>
                <w:rFonts w:hint="eastAsia" w:ascii="宋体" w:hAnsi="宋体" w:eastAsia="宋体" w:cs="宋体"/>
                <w:sz w:val="21"/>
                <w:szCs w:val="21"/>
              </w:rPr>
            </w:pPr>
          </w:p>
        </w:tc>
      </w:tr>
      <w:tr w14:paraId="5D922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4D5E48AB">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13</w:t>
            </w:r>
          </w:p>
        </w:tc>
        <w:tc>
          <w:tcPr>
            <w:tcW w:w="2001" w:type="dxa"/>
            <w:noWrap w:val="0"/>
            <w:vAlign w:val="center"/>
          </w:tcPr>
          <w:p w14:paraId="71329DCE">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强光手电</w:t>
            </w:r>
          </w:p>
        </w:tc>
        <w:tc>
          <w:tcPr>
            <w:tcW w:w="2112" w:type="dxa"/>
            <w:noWrap w:val="0"/>
            <w:vAlign w:val="center"/>
          </w:tcPr>
          <w:p w14:paraId="2C6B26D0">
            <w:pPr>
              <w:spacing w:line="420" w:lineRule="exact"/>
              <w:ind w:firstLine="420"/>
              <w:jc w:val="center"/>
              <w:rPr>
                <w:rFonts w:hint="eastAsia" w:ascii="宋体" w:hAnsi="宋体" w:eastAsia="宋体" w:cs="宋体"/>
                <w:sz w:val="21"/>
                <w:szCs w:val="21"/>
              </w:rPr>
            </w:pPr>
            <w:r>
              <w:rPr>
                <w:rFonts w:hint="eastAsia" w:ascii="宋体" w:hAnsi="宋体" w:cs="宋体"/>
                <w:sz w:val="21"/>
                <w:szCs w:val="21"/>
              </w:rPr>
              <w:t>7</w:t>
            </w:r>
          </w:p>
        </w:tc>
        <w:tc>
          <w:tcPr>
            <w:tcW w:w="3276" w:type="dxa"/>
            <w:vMerge w:val="continue"/>
            <w:noWrap w:val="0"/>
            <w:vAlign w:val="center"/>
          </w:tcPr>
          <w:p w14:paraId="19B6D430">
            <w:pPr>
              <w:spacing w:line="420" w:lineRule="exact"/>
              <w:ind w:firstLine="420"/>
              <w:jc w:val="center"/>
              <w:rPr>
                <w:rFonts w:hint="eastAsia" w:ascii="宋体" w:hAnsi="宋体" w:eastAsia="宋体" w:cs="宋体"/>
                <w:sz w:val="21"/>
                <w:szCs w:val="21"/>
              </w:rPr>
            </w:pPr>
          </w:p>
        </w:tc>
      </w:tr>
      <w:tr w14:paraId="47577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noWrap w:val="0"/>
            <w:vAlign w:val="center"/>
          </w:tcPr>
          <w:p w14:paraId="636EC084">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14</w:t>
            </w:r>
          </w:p>
        </w:tc>
        <w:tc>
          <w:tcPr>
            <w:tcW w:w="2001" w:type="dxa"/>
            <w:noWrap w:val="0"/>
            <w:vAlign w:val="center"/>
          </w:tcPr>
          <w:p w14:paraId="229C770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对讲机</w:t>
            </w:r>
          </w:p>
        </w:tc>
        <w:tc>
          <w:tcPr>
            <w:tcW w:w="2112" w:type="dxa"/>
            <w:noWrap w:val="0"/>
            <w:vAlign w:val="center"/>
          </w:tcPr>
          <w:p w14:paraId="54104A0B">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9</w:t>
            </w:r>
          </w:p>
        </w:tc>
        <w:tc>
          <w:tcPr>
            <w:tcW w:w="3276" w:type="dxa"/>
            <w:vMerge w:val="continue"/>
            <w:noWrap w:val="0"/>
            <w:vAlign w:val="center"/>
          </w:tcPr>
          <w:p w14:paraId="1AE7B7B2">
            <w:pPr>
              <w:spacing w:line="420" w:lineRule="exact"/>
              <w:ind w:firstLine="420"/>
              <w:jc w:val="center"/>
              <w:rPr>
                <w:rFonts w:hint="eastAsia" w:ascii="宋体" w:hAnsi="宋体" w:eastAsia="宋体" w:cs="宋体"/>
                <w:sz w:val="21"/>
                <w:szCs w:val="21"/>
              </w:rPr>
            </w:pPr>
          </w:p>
        </w:tc>
      </w:tr>
      <w:tr w14:paraId="42DBB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tcBorders>
              <w:bottom w:val="single" w:color="auto" w:sz="4" w:space="0"/>
            </w:tcBorders>
            <w:noWrap w:val="0"/>
            <w:vAlign w:val="center"/>
          </w:tcPr>
          <w:p w14:paraId="3792613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15</w:t>
            </w:r>
          </w:p>
        </w:tc>
        <w:tc>
          <w:tcPr>
            <w:tcW w:w="2001" w:type="dxa"/>
            <w:tcBorders>
              <w:bottom w:val="single" w:color="auto" w:sz="4" w:space="0"/>
            </w:tcBorders>
            <w:noWrap w:val="0"/>
            <w:vAlign w:val="center"/>
          </w:tcPr>
          <w:p w14:paraId="65972537">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消防战斗服</w:t>
            </w:r>
          </w:p>
        </w:tc>
        <w:tc>
          <w:tcPr>
            <w:tcW w:w="2112" w:type="dxa"/>
            <w:tcBorders>
              <w:bottom w:val="single" w:color="auto" w:sz="4" w:space="0"/>
            </w:tcBorders>
            <w:noWrap w:val="0"/>
            <w:vAlign w:val="center"/>
          </w:tcPr>
          <w:p w14:paraId="581AF70E">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4</w:t>
            </w:r>
          </w:p>
        </w:tc>
        <w:tc>
          <w:tcPr>
            <w:tcW w:w="3276" w:type="dxa"/>
            <w:vMerge w:val="continue"/>
            <w:tcBorders>
              <w:bottom w:val="single" w:color="auto" w:sz="4" w:space="0"/>
            </w:tcBorders>
            <w:noWrap w:val="0"/>
            <w:vAlign w:val="center"/>
          </w:tcPr>
          <w:p w14:paraId="253E3D45">
            <w:pPr>
              <w:spacing w:line="420" w:lineRule="exact"/>
              <w:ind w:firstLine="420"/>
              <w:jc w:val="center"/>
              <w:rPr>
                <w:rFonts w:hint="eastAsia" w:ascii="宋体" w:hAnsi="宋体" w:eastAsia="宋体" w:cs="宋体"/>
                <w:sz w:val="21"/>
                <w:szCs w:val="21"/>
              </w:rPr>
            </w:pPr>
          </w:p>
        </w:tc>
      </w:tr>
      <w:tr w14:paraId="371CD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302" w:type="dxa"/>
            <w:tcBorders>
              <w:top w:val="single" w:color="auto" w:sz="4" w:space="0"/>
              <w:bottom w:val="single" w:color="auto" w:sz="4" w:space="0"/>
            </w:tcBorders>
            <w:noWrap w:val="0"/>
            <w:vAlign w:val="center"/>
          </w:tcPr>
          <w:p w14:paraId="05D77E0A">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16</w:t>
            </w:r>
          </w:p>
        </w:tc>
        <w:tc>
          <w:tcPr>
            <w:tcW w:w="2001" w:type="dxa"/>
            <w:tcBorders>
              <w:top w:val="single" w:color="auto" w:sz="4" w:space="0"/>
              <w:bottom w:val="single" w:color="auto" w:sz="4" w:space="0"/>
            </w:tcBorders>
            <w:noWrap w:val="0"/>
            <w:vAlign w:val="center"/>
          </w:tcPr>
          <w:p w14:paraId="21BC5570">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员工服装</w:t>
            </w:r>
          </w:p>
          <w:p w14:paraId="12E88518">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（含配饰）</w:t>
            </w:r>
          </w:p>
        </w:tc>
        <w:tc>
          <w:tcPr>
            <w:tcW w:w="2112" w:type="dxa"/>
            <w:tcBorders>
              <w:top w:val="single" w:color="auto" w:sz="4" w:space="0"/>
              <w:bottom w:val="single" w:color="auto" w:sz="4" w:space="0"/>
            </w:tcBorders>
            <w:noWrap w:val="0"/>
            <w:vAlign w:val="center"/>
          </w:tcPr>
          <w:p w14:paraId="7AB3FB4F">
            <w:pPr>
              <w:spacing w:line="420" w:lineRule="exact"/>
              <w:ind w:firstLine="420"/>
              <w:jc w:val="center"/>
              <w:rPr>
                <w:rFonts w:ascii="宋体" w:hAnsi="宋体" w:eastAsia="宋体" w:cs="宋体"/>
                <w:sz w:val="21"/>
                <w:szCs w:val="21"/>
              </w:rPr>
            </w:pPr>
            <w:r>
              <w:rPr>
                <w:rFonts w:hint="eastAsia" w:ascii="宋体" w:hAnsi="宋体" w:cs="宋体"/>
                <w:sz w:val="21"/>
                <w:szCs w:val="21"/>
              </w:rPr>
              <w:t>60</w:t>
            </w:r>
          </w:p>
        </w:tc>
        <w:tc>
          <w:tcPr>
            <w:tcW w:w="3276" w:type="dxa"/>
            <w:tcBorders>
              <w:top w:val="single" w:color="auto" w:sz="4" w:space="0"/>
              <w:bottom w:val="single" w:color="auto" w:sz="4" w:space="0"/>
            </w:tcBorders>
            <w:noWrap w:val="0"/>
            <w:vAlign w:val="center"/>
          </w:tcPr>
          <w:p w14:paraId="0680F822">
            <w:pPr>
              <w:spacing w:line="420" w:lineRule="exact"/>
              <w:ind w:firstLine="420"/>
              <w:jc w:val="center"/>
              <w:rPr>
                <w:rFonts w:hint="eastAsia" w:ascii="宋体" w:hAnsi="宋体" w:eastAsia="宋体" w:cs="宋体"/>
                <w:sz w:val="21"/>
                <w:szCs w:val="21"/>
              </w:rPr>
            </w:pPr>
            <w:r>
              <w:rPr>
                <w:rFonts w:hint="eastAsia" w:ascii="宋体" w:hAnsi="宋体" w:eastAsia="宋体" w:cs="宋体"/>
                <w:sz w:val="21"/>
                <w:szCs w:val="21"/>
              </w:rPr>
              <w:t>按甲方指定要求配置：夏、春秋、冬每人各2套（包括巡逻岗冲锋衣/门岗大衣）。</w:t>
            </w:r>
          </w:p>
        </w:tc>
      </w:tr>
      <w:tr w14:paraId="58262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91" w:type="dxa"/>
            <w:gridSpan w:val="4"/>
            <w:tcBorders>
              <w:top w:val="single" w:color="auto" w:sz="4" w:space="0"/>
            </w:tcBorders>
            <w:noWrap w:val="0"/>
            <w:vAlign w:val="center"/>
          </w:tcPr>
          <w:p w14:paraId="6D75ED73">
            <w:pPr>
              <w:spacing w:line="420" w:lineRule="exact"/>
              <w:ind w:firstLine="422"/>
              <w:jc w:val="left"/>
              <w:rPr>
                <w:rFonts w:hint="eastAsia" w:ascii="宋体" w:hAnsi="宋体" w:eastAsia="宋体" w:cs="宋体"/>
                <w:b/>
                <w:sz w:val="21"/>
                <w:szCs w:val="21"/>
              </w:rPr>
            </w:pPr>
            <w:r>
              <w:rPr>
                <w:rFonts w:hint="eastAsia" w:ascii="宋体" w:hAnsi="宋体" w:eastAsia="宋体" w:cs="宋体"/>
                <w:b/>
                <w:sz w:val="21"/>
                <w:szCs w:val="21"/>
              </w:rPr>
              <w:t>备注：1、以上装备机具由乙方入场提供并保证完好。</w:t>
            </w:r>
          </w:p>
          <w:p w14:paraId="1C4B1CDF">
            <w:pPr>
              <w:spacing w:line="420" w:lineRule="exact"/>
              <w:ind w:firstLine="632" w:firstLineChars="300"/>
              <w:jc w:val="left"/>
              <w:rPr>
                <w:rFonts w:hint="eastAsia" w:ascii="宋体" w:hAnsi="宋体" w:eastAsia="宋体" w:cs="宋体"/>
                <w:b/>
                <w:sz w:val="21"/>
                <w:szCs w:val="21"/>
              </w:rPr>
            </w:pPr>
            <w:r>
              <w:rPr>
                <w:rFonts w:hint="eastAsia" w:ascii="宋体" w:hAnsi="宋体" w:eastAsia="宋体" w:cs="宋体"/>
                <w:b/>
                <w:sz w:val="21"/>
                <w:szCs w:val="21"/>
              </w:rPr>
              <w:t>2、装备机具明细及数量由甲乙双方根据招标条款及项目情况沟通确定。</w:t>
            </w:r>
          </w:p>
        </w:tc>
      </w:tr>
    </w:tbl>
    <w:p w14:paraId="17D7A6DA">
      <w:pPr>
        <w:adjustRightInd w:val="0"/>
        <w:spacing w:line="360" w:lineRule="auto"/>
        <w:rPr>
          <w:szCs w:val="21"/>
        </w:rPr>
      </w:pPr>
    </w:p>
    <w:p w14:paraId="1241F6B0">
      <w:pPr>
        <w:adjustRightInd w:val="0"/>
        <w:spacing w:line="360" w:lineRule="auto"/>
        <w:rPr>
          <w:szCs w:val="21"/>
        </w:rPr>
      </w:pPr>
      <w:r>
        <w:rPr>
          <w:szCs w:val="21"/>
        </w:rPr>
        <w:br w:type="page"/>
      </w:r>
    </w:p>
    <w:p w14:paraId="4FFE4352">
      <w:pPr>
        <w:adjustRightInd w:val="0"/>
        <w:spacing w:line="360" w:lineRule="auto"/>
        <w:rPr>
          <w:szCs w:val="21"/>
        </w:rPr>
      </w:pPr>
      <w:r>
        <w:rPr>
          <w:rFonts w:hint="eastAsia"/>
          <w:szCs w:val="21"/>
        </w:rPr>
        <w:t>附件四：考核标准</w:t>
      </w:r>
    </w:p>
    <w:p w14:paraId="1183E7F0">
      <w:pPr>
        <w:adjustRightInd w:val="0"/>
        <w:spacing w:line="360" w:lineRule="auto"/>
        <w:jc w:val="center"/>
        <w:rPr>
          <w:szCs w:val="21"/>
        </w:rPr>
      </w:pPr>
      <w:r>
        <w:rPr>
          <w:rFonts w:hint="eastAsia"/>
          <w:szCs w:val="21"/>
        </w:rPr>
        <w:t>秩序供方日常管理评估考核标准</w:t>
      </w:r>
    </w:p>
    <w:tbl>
      <w:tblPr>
        <w:tblStyle w:val="58"/>
        <w:tblW w:w="9355" w:type="dxa"/>
        <w:tblInd w:w="427" w:type="dxa"/>
        <w:tblLayout w:type="fixed"/>
        <w:tblCellMar>
          <w:top w:w="0" w:type="dxa"/>
          <w:left w:w="108" w:type="dxa"/>
          <w:bottom w:w="0" w:type="dxa"/>
          <w:right w:w="108" w:type="dxa"/>
        </w:tblCellMar>
      </w:tblPr>
      <w:tblGrid>
        <w:gridCol w:w="709"/>
        <w:gridCol w:w="4819"/>
        <w:gridCol w:w="3827"/>
      </w:tblGrid>
      <w:tr w14:paraId="323ABF5D">
        <w:tblPrEx>
          <w:tblCellMar>
            <w:top w:w="0" w:type="dxa"/>
            <w:left w:w="108" w:type="dxa"/>
            <w:bottom w:w="0" w:type="dxa"/>
            <w:right w:w="108" w:type="dxa"/>
          </w:tblCellMar>
        </w:tblPrEx>
        <w:trPr>
          <w:trHeight w:val="28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8211DE">
            <w:pPr>
              <w:adjustRightInd w:val="0"/>
              <w:spacing w:line="360" w:lineRule="auto"/>
              <w:ind w:firstLine="0" w:firstLineChars="0"/>
              <w:rPr>
                <w:szCs w:val="21"/>
              </w:rPr>
            </w:pPr>
            <w:r>
              <w:rPr>
                <w:rFonts w:hint="eastAsia"/>
                <w:szCs w:val="21"/>
              </w:rPr>
              <w:t>类别</w:t>
            </w:r>
          </w:p>
        </w:tc>
        <w:tc>
          <w:tcPr>
            <w:tcW w:w="4819" w:type="dxa"/>
            <w:tcBorders>
              <w:top w:val="single" w:color="auto" w:sz="4" w:space="0"/>
              <w:left w:val="nil"/>
              <w:bottom w:val="single" w:color="auto" w:sz="4" w:space="0"/>
              <w:right w:val="single" w:color="auto" w:sz="4" w:space="0"/>
            </w:tcBorders>
            <w:noWrap w:val="0"/>
            <w:vAlign w:val="center"/>
          </w:tcPr>
          <w:p w14:paraId="4DCC9D6B">
            <w:pPr>
              <w:adjustRightInd w:val="0"/>
              <w:spacing w:line="360" w:lineRule="auto"/>
              <w:ind w:firstLine="0" w:firstLineChars="0"/>
              <w:rPr>
                <w:szCs w:val="21"/>
              </w:rPr>
            </w:pPr>
            <w:r>
              <w:rPr>
                <w:rFonts w:hint="eastAsia"/>
                <w:szCs w:val="21"/>
              </w:rPr>
              <w:t>扣款条款</w:t>
            </w:r>
          </w:p>
        </w:tc>
        <w:tc>
          <w:tcPr>
            <w:tcW w:w="3827" w:type="dxa"/>
            <w:tcBorders>
              <w:top w:val="single" w:color="auto" w:sz="4" w:space="0"/>
              <w:left w:val="nil"/>
              <w:bottom w:val="single" w:color="auto" w:sz="4" w:space="0"/>
              <w:right w:val="single" w:color="auto" w:sz="4" w:space="0"/>
            </w:tcBorders>
            <w:noWrap w:val="0"/>
            <w:vAlign w:val="center"/>
          </w:tcPr>
          <w:p w14:paraId="5ADC6EB3">
            <w:pPr>
              <w:adjustRightInd w:val="0"/>
              <w:spacing w:line="360" w:lineRule="auto"/>
              <w:ind w:firstLine="0" w:firstLineChars="0"/>
              <w:rPr>
                <w:szCs w:val="21"/>
              </w:rPr>
            </w:pPr>
            <w:r>
              <w:rPr>
                <w:rFonts w:hint="eastAsia"/>
                <w:szCs w:val="21"/>
              </w:rPr>
              <w:t>扣款额度</w:t>
            </w:r>
          </w:p>
        </w:tc>
      </w:tr>
      <w:tr w14:paraId="0EC2BF88">
        <w:tblPrEx>
          <w:tblCellMar>
            <w:top w:w="0" w:type="dxa"/>
            <w:left w:w="108" w:type="dxa"/>
            <w:bottom w:w="0" w:type="dxa"/>
            <w:right w:w="108" w:type="dxa"/>
          </w:tblCellMar>
        </w:tblPrEx>
        <w:trPr>
          <w:trHeight w:val="373" w:hRule="atLeast"/>
        </w:trPr>
        <w:tc>
          <w:tcPr>
            <w:tcW w:w="709" w:type="dxa"/>
            <w:vMerge w:val="restart"/>
            <w:tcBorders>
              <w:top w:val="nil"/>
              <w:left w:val="single" w:color="auto" w:sz="4" w:space="0"/>
              <w:bottom w:val="nil"/>
              <w:right w:val="single" w:color="auto" w:sz="4" w:space="0"/>
            </w:tcBorders>
            <w:noWrap w:val="0"/>
            <w:vAlign w:val="center"/>
          </w:tcPr>
          <w:p w14:paraId="2C2DAA31">
            <w:pPr>
              <w:adjustRightInd w:val="0"/>
              <w:spacing w:line="360" w:lineRule="auto"/>
              <w:ind w:firstLine="0" w:firstLineChars="0"/>
              <w:rPr>
                <w:szCs w:val="21"/>
              </w:rPr>
            </w:pPr>
            <w:r>
              <w:rPr>
                <w:rFonts w:hint="eastAsia"/>
                <w:szCs w:val="21"/>
              </w:rPr>
              <w:t>安全管理</w:t>
            </w:r>
          </w:p>
        </w:tc>
        <w:tc>
          <w:tcPr>
            <w:tcW w:w="4819" w:type="dxa"/>
            <w:tcBorders>
              <w:top w:val="nil"/>
              <w:left w:val="nil"/>
              <w:bottom w:val="single" w:color="auto" w:sz="4" w:space="0"/>
              <w:right w:val="single" w:color="auto" w:sz="4" w:space="0"/>
            </w:tcBorders>
            <w:noWrap w:val="0"/>
            <w:vAlign w:val="center"/>
          </w:tcPr>
          <w:p w14:paraId="393398B9">
            <w:pPr>
              <w:adjustRightInd w:val="0"/>
              <w:spacing w:line="360" w:lineRule="auto"/>
              <w:ind w:firstLine="0" w:firstLineChars="0"/>
              <w:rPr>
                <w:szCs w:val="21"/>
              </w:rPr>
            </w:pPr>
            <w:r>
              <w:rPr>
                <w:rFonts w:hint="eastAsia"/>
                <w:szCs w:val="21"/>
              </w:rPr>
              <w:t>1.队员在园区内有偷盗行为。</w:t>
            </w:r>
          </w:p>
        </w:tc>
        <w:tc>
          <w:tcPr>
            <w:tcW w:w="3827" w:type="dxa"/>
            <w:tcBorders>
              <w:top w:val="nil"/>
              <w:left w:val="nil"/>
              <w:bottom w:val="single" w:color="auto" w:sz="4" w:space="0"/>
              <w:right w:val="single" w:color="auto" w:sz="4" w:space="0"/>
            </w:tcBorders>
            <w:noWrap w:val="0"/>
            <w:vAlign w:val="center"/>
          </w:tcPr>
          <w:p w14:paraId="43EE1B5D">
            <w:pPr>
              <w:adjustRightInd w:val="0"/>
              <w:spacing w:line="360" w:lineRule="auto"/>
              <w:ind w:firstLine="0" w:firstLineChars="0"/>
              <w:rPr>
                <w:szCs w:val="21"/>
              </w:rPr>
            </w:pPr>
            <w:r>
              <w:rPr>
                <w:rFonts w:hint="eastAsia"/>
                <w:szCs w:val="21"/>
              </w:rPr>
              <w:t>考核扣款￥10000元并赔偿。</w:t>
            </w:r>
          </w:p>
        </w:tc>
      </w:tr>
      <w:tr w14:paraId="54C0DDA0">
        <w:tblPrEx>
          <w:tblCellMar>
            <w:top w:w="0" w:type="dxa"/>
            <w:left w:w="108" w:type="dxa"/>
            <w:bottom w:w="0" w:type="dxa"/>
            <w:right w:w="108" w:type="dxa"/>
          </w:tblCellMar>
        </w:tblPrEx>
        <w:trPr>
          <w:trHeight w:val="209" w:hRule="atLeast"/>
        </w:trPr>
        <w:tc>
          <w:tcPr>
            <w:tcW w:w="709" w:type="dxa"/>
            <w:vMerge w:val="continue"/>
            <w:tcBorders>
              <w:top w:val="nil"/>
              <w:left w:val="single" w:color="auto" w:sz="4" w:space="0"/>
              <w:bottom w:val="nil"/>
              <w:right w:val="single" w:color="auto" w:sz="4" w:space="0"/>
            </w:tcBorders>
            <w:noWrap w:val="0"/>
            <w:vAlign w:val="center"/>
          </w:tcPr>
          <w:p w14:paraId="24BCE053">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04D74BAF">
            <w:pPr>
              <w:adjustRightInd w:val="0"/>
              <w:spacing w:line="360" w:lineRule="auto"/>
              <w:ind w:firstLine="0" w:firstLineChars="0"/>
              <w:rPr>
                <w:szCs w:val="21"/>
              </w:rPr>
            </w:pPr>
            <w:r>
              <w:rPr>
                <w:rFonts w:hint="eastAsia"/>
                <w:szCs w:val="21"/>
              </w:rPr>
              <w:t>2.因管理疏忽因素，导致园区内被盗事件。</w:t>
            </w:r>
          </w:p>
        </w:tc>
        <w:tc>
          <w:tcPr>
            <w:tcW w:w="3827" w:type="dxa"/>
            <w:tcBorders>
              <w:top w:val="nil"/>
              <w:left w:val="nil"/>
              <w:bottom w:val="single" w:color="auto" w:sz="4" w:space="0"/>
              <w:right w:val="single" w:color="auto" w:sz="4" w:space="0"/>
            </w:tcBorders>
            <w:noWrap w:val="0"/>
            <w:vAlign w:val="center"/>
          </w:tcPr>
          <w:p w14:paraId="18129BE8">
            <w:pPr>
              <w:adjustRightInd w:val="0"/>
              <w:spacing w:line="360" w:lineRule="auto"/>
              <w:ind w:firstLine="0" w:firstLineChars="0"/>
              <w:rPr>
                <w:szCs w:val="21"/>
              </w:rPr>
            </w:pPr>
            <w:r>
              <w:rPr>
                <w:rFonts w:hint="eastAsia"/>
                <w:szCs w:val="21"/>
              </w:rPr>
              <w:t>考核扣款￥1000-10000元并赔偿全额损失。</w:t>
            </w:r>
          </w:p>
        </w:tc>
      </w:tr>
      <w:tr w14:paraId="579109F0">
        <w:tblPrEx>
          <w:tblCellMar>
            <w:top w:w="0" w:type="dxa"/>
            <w:left w:w="108" w:type="dxa"/>
            <w:bottom w:w="0" w:type="dxa"/>
            <w:right w:w="108" w:type="dxa"/>
          </w:tblCellMar>
        </w:tblPrEx>
        <w:trPr>
          <w:trHeight w:val="326" w:hRule="atLeast"/>
        </w:trPr>
        <w:tc>
          <w:tcPr>
            <w:tcW w:w="709" w:type="dxa"/>
            <w:vMerge w:val="continue"/>
            <w:tcBorders>
              <w:top w:val="nil"/>
              <w:left w:val="single" w:color="auto" w:sz="4" w:space="0"/>
              <w:bottom w:val="nil"/>
              <w:right w:val="single" w:color="auto" w:sz="4" w:space="0"/>
            </w:tcBorders>
            <w:noWrap w:val="0"/>
            <w:vAlign w:val="center"/>
          </w:tcPr>
          <w:p w14:paraId="5894490F">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675E63B5">
            <w:pPr>
              <w:adjustRightInd w:val="0"/>
              <w:spacing w:line="360" w:lineRule="auto"/>
              <w:ind w:firstLine="0" w:firstLineChars="0"/>
              <w:rPr>
                <w:szCs w:val="21"/>
              </w:rPr>
            </w:pPr>
            <w:r>
              <w:rPr>
                <w:rFonts w:hint="eastAsia"/>
                <w:szCs w:val="21"/>
              </w:rPr>
              <w:t>3.</w:t>
            </w:r>
            <w:r>
              <w:rPr>
                <w:rFonts w:hint="eastAsia"/>
                <w:szCs w:val="21"/>
                <w:lang w:eastAsia="zh-CN"/>
              </w:rPr>
              <w:t>中选</w:t>
            </w:r>
            <w:r>
              <w:rPr>
                <w:rFonts w:hint="eastAsia"/>
                <w:szCs w:val="21"/>
              </w:rPr>
              <w:t>单位员工在服务项目发生5人以下闹事。</w:t>
            </w:r>
          </w:p>
        </w:tc>
        <w:tc>
          <w:tcPr>
            <w:tcW w:w="3827" w:type="dxa"/>
            <w:tcBorders>
              <w:top w:val="single" w:color="auto" w:sz="4" w:space="0"/>
              <w:left w:val="nil"/>
              <w:bottom w:val="single" w:color="auto" w:sz="4" w:space="0"/>
              <w:right w:val="single" w:color="auto" w:sz="4" w:space="0"/>
            </w:tcBorders>
            <w:noWrap w:val="0"/>
            <w:vAlign w:val="center"/>
          </w:tcPr>
          <w:p w14:paraId="0DF9A695">
            <w:pPr>
              <w:adjustRightInd w:val="0"/>
              <w:spacing w:line="360" w:lineRule="auto"/>
              <w:ind w:firstLine="0" w:firstLineChars="0"/>
              <w:rPr>
                <w:szCs w:val="21"/>
              </w:rPr>
            </w:pPr>
            <w:r>
              <w:rPr>
                <w:rFonts w:hint="eastAsia"/>
                <w:szCs w:val="21"/>
              </w:rPr>
              <w:t>发生闹事一次扣款1000元，第二次闹事扣2000元，第三次闹事扣款4000元，以此类推。</w:t>
            </w:r>
          </w:p>
        </w:tc>
      </w:tr>
      <w:tr w14:paraId="2CEF3EFB">
        <w:tblPrEx>
          <w:tblCellMar>
            <w:top w:w="0" w:type="dxa"/>
            <w:left w:w="108" w:type="dxa"/>
            <w:bottom w:w="0" w:type="dxa"/>
            <w:right w:w="108" w:type="dxa"/>
          </w:tblCellMar>
        </w:tblPrEx>
        <w:trPr>
          <w:trHeight w:val="326" w:hRule="atLeast"/>
        </w:trPr>
        <w:tc>
          <w:tcPr>
            <w:tcW w:w="709" w:type="dxa"/>
            <w:vMerge w:val="continue"/>
            <w:tcBorders>
              <w:top w:val="nil"/>
              <w:left w:val="single" w:color="auto" w:sz="4" w:space="0"/>
              <w:bottom w:val="nil"/>
              <w:right w:val="single" w:color="auto" w:sz="4" w:space="0"/>
            </w:tcBorders>
            <w:noWrap w:val="0"/>
            <w:vAlign w:val="center"/>
          </w:tcPr>
          <w:p w14:paraId="26D998D0">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2AA74890">
            <w:pPr>
              <w:adjustRightInd w:val="0"/>
              <w:spacing w:line="360" w:lineRule="auto"/>
              <w:ind w:firstLine="0" w:firstLineChars="0"/>
              <w:rPr>
                <w:szCs w:val="21"/>
              </w:rPr>
            </w:pPr>
            <w:r>
              <w:rPr>
                <w:rFonts w:hint="eastAsia"/>
                <w:szCs w:val="21"/>
              </w:rPr>
              <w:t>4.乙方派驻员工在服务区域内打架斗殴。</w:t>
            </w:r>
          </w:p>
        </w:tc>
        <w:tc>
          <w:tcPr>
            <w:tcW w:w="3827" w:type="dxa"/>
            <w:tcBorders>
              <w:top w:val="single" w:color="auto" w:sz="4" w:space="0"/>
              <w:left w:val="nil"/>
              <w:bottom w:val="single" w:color="auto" w:sz="4" w:space="0"/>
              <w:right w:val="single" w:color="auto" w:sz="4" w:space="0"/>
            </w:tcBorders>
            <w:noWrap w:val="0"/>
            <w:vAlign w:val="center"/>
          </w:tcPr>
          <w:p w14:paraId="5A9AC271">
            <w:pPr>
              <w:adjustRightInd w:val="0"/>
              <w:spacing w:line="360" w:lineRule="auto"/>
              <w:ind w:firstLine="0" w:firstLineChars="0"/>
              <w:rPr>
                <w:szCs w:val="21"/>
              </w:rPr>
            </w:pPr>
            <w:r>
              <w:rPr>
                <w:rFonts w:hint="eastAsia"/>
                <w:szCs w:val="21"/>
              </w:rPr>
              <w:t>考核扣款￥1000元/次。</w:t>
            </w:r>
          </w:p>
        </w:tc>
      </w:tr>
      <w:tr w14:paraId="39E393D9">
        <w:tblPrEx>
          <w:tblCellMar>
            <w:top w:w="0" w:type="dxa"/>
            <w:left w:w="108" w:type="dxa"/>
            <w:bottom w:w="0" w:type="dxa"/>
            <w:right w:w="108" w:type="dxa"/>
          </w:tblCellMar>
        </w:tblPrEx>
        <w:trPr>
          <w:trHeight w:val="467" w:hRule="atLeast"/>
        </w:trPr>
        <w:tc>
          <w:tcPr>
            <w:tcW w:w="709" w:type="dxa"/>
            <w:vMerge w:val="continue"/>
            <w:tcBorders>
              <w:top w:val="nil"/>
              <w:left w:val="single" w:color="auto" w:sz="4" w:space="0"/>
              <w:bottom w:val="nil"/>
              <w:right w:val="single" w:color="auto" w:sz="4" w:space="0"/>
            </w:tcBorders>
            <w:noWrap w:val="0"/>
            <w:vAlign w:val="center"/>
          </w:tcPr>
          <w:p w14:paraId="673BCEA7">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2749F275">
            <w:pPr>
              <w:adjustRightInd w:val="0"/>
              <w:spacing w:line="360" w:lineRule="auto"/>
              <w:ind w:firstLine="0" w:firstLineChars="0"/>
              <w:rPr>
                <w:szCs w:val="21"/>
                <w:lang w:val="en-GB"/>
              </w:rPr>
            </w:pPr>
            <w:r>
              <w:rPr>
                <w:rFonts w:hint="eastAsia"/>
                <w:szCs w:val="21"/>
                <w:lang w:val="en-GB"/>
              </w:rPr>
              <w:t>5.未按时进行巡逻程序（含消防安全检查和器材巡检）。</w:t>
            </w:r>
          </w:p>
        </w:tc>
        <w:tc>
          <w:tcPr>
            <w:tcW w:w="3827" w:type="dxa"/>
            <w:tcBorders>
              <w:top w:val="nil"/>
              <w:left w:val="nil"/>
              <w:bottom w:val="single" w:color="auto" w:sz="4" w:space="0"/>
              <w:right w:val="single" w:color="auto" w:sz="4" w:space="0"/>
            </w:tcBorders>
            <w:noWrap w:val="0"/>
            <w:vAlign w:val="center"/>
          </w:tcPr>
          <w:p w14:paraId="09BD7D3C">
            <w:pPr>
              <w:adjustRightInd w:val="0"/>
              <w:spacing w:line="360" w:lineRule="auto"/>
              <w:ind w:firstLine="0" w:firstLineChars="0"/>
              <w:rPr>
                <w:szCs w:val="21"/>
              </w:rPr>
            </w:pPr>
            <w:r>
              <w:rPr>
                <w:rFonts w:hint="eastAsia"/>
                <w:szCs w:val="21"/>
              </w:rPr>
              <w:t>考核扣款￥50-100元/次</w:t>
            </w:r>
          </w:p>
        </w:tc>
      </w:tr>
      <w:tr w14:paraId="60976F0D">
        <w:tblPrEx>
          <w:tblCellMar>
            <w:top w:w="0" w:type="dxa"/>
            <w:left w:w="108" w:type="dxa"/>
            <w:bottom w:w="0" w:type="dxa"/>
            <w:right w:w="108" w:type="dxa"/>
          </w:tblCellMar>
        </w:tblPrEx>
        <w:trPr>
          <w:trHeight w:val="333" w:hRule="atLeast"/>
        </w:trPr>
        <w:tc>
          <w:tcPr>
            <w:tcW w:w="709" w:type="dxa"/>
            <w:vMerge w:val="continue"/>
            <w:tcBorders>
              <w:top w:val="nil"/>
              <w:left w:val="single" w:color="auto" w:sz="4" w:space="0"/>
              <w:bottom w:val="nil"/>
              <w:right w:val="single" w:color="auto" w:sz="4" w:space="0"/>
            </w:tcBorders>
            <w:noWrap w:val="0"/>
            <w:vAlign w:val="center"/>
          </w:tcPr>
          <w:p w14:paraId="230D2762">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56C204B1">
            <w:pPr>
              <w:adjustRightInd w:val="0"/>
              <w:spacing w:line="360" w:lineRule="auto"/>
              <w:ind w:firstLine="0" w:firstLineChars="0"/>
              <w:rPr>
                <w:szCs w:val="21"/>
              </w:rPr>
            </w:pPr>
            <w:r>
              <w:rPr>
                <w:rFonts w:hint="eastAsia"/>
                <w:szCs w:val="21"/>
              </w:rPr>
              <w:t>6.未严格执行人员、物品、车辆物品进出管理制度，存在核查管控不严（含甲方及外聘三方机构暗访闯岗测试）。</w:t>
            </w:r>
          </w:p>
        </w:tc>
        <w:tc>
          <w:tcPr>
            <w:tcW w:w="3827" w:type="dxa"/>
            <w:tcBorders>
              <w:top w:val="nil"/>
              <w:left w:val="nil"/>
              <w:bottom w:val="single" w:color="auto" w:sz="4" w:space="0"/>
              <w:right w:val="single" w:color="auto" w:sz="4" w:space="0"/>
            </w:tcBorders>
            <w:noWrap w:val="0"/>
            <w:vAlign w:val="center"/>
          </w:tcPr>
          <w:p w14:paraId="0A82851B">
            <w:pPr>
              <w:adjustRightInd w:val="0"/>
              <w:spacing w:line="360" w:lineRule="auto"/>
              <w:ind w:firstLine="0" w:firstLineChars="0"/>
              <w:rPr>
                <w:szCs w:val="21"/>
              </w:rPr>
            </w:pPr>
            <w:r>
              <w:rPr>
                <w:rFonts w:hint="eastAsia"/>
                <w:szCs w:val="21"/>
              </w:rPr>
              <w:t>考核扣款￥100元/岗/次</w:t>
            </w:r>
          </w:p>
        </w:tc>
      </w:tr>
      <w:tr w14:paraId="02616D7B">
        <w:tblPrEx>
          <w:tblCellMar>
            <w:top w:w="0" w:type="dxa"/>
            <w:left w:w="108" w:type="dxa"/>
            <w:bottom w:w="0" w:type="dxa"/>
            <w:right w:w="108" w:type="dxa"/>
          </w:tblCellMar>
        </w:tblPrEx>
        <w:trPr>
          <w:trHeight w:val="355" w:hRule="atLeast"/>
        </w:trPr>
        <w:tc>
          <w:tcPr>
            <w:tcW w:w="709" w:type="dxa"/>
            <w:vMerge w:val="continue"/>
            <w:tcBorders>
              <w:top w:val="nil"/>
              <w:left w:val="single" w:color="auto" w:sz="4" w:space="0"/>
              <w:bottom w:val="nil"/>
              <w:right w:val="single" w:color="auto" w:sz="4" w:space="0"/>
            </w:tcBorders>
            <w:noWrap w:val="0"/>
            <w:vAlign w:val="center"/>
          </w:tcPr>
          <w:p w14:paraId="2A36A5C7">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3D58D832">
            <w:pPr>
              <w:adjustRightInd w:val="0"/>
              <w:spacing w:line="360" w:lineRule="auto"/>
              <w:ind w:firstLine="0" w:firstLineChars="0"/>
              <w:rPr>
                <w:szCs w:val="21"/>
              </w:rPr>
            </w:pPr>
            <w:r>
              <w:rPr>
                <w:rFonts w:hint="eastAsia"/>
                <w:szCs w:val="21"/>
              </w:rPr>
              <w:t>7.周界报警、消防报警、电梯困人及紧急求助测试，未按规定时间到达现场或携带装备器材不全的</w:t>
            </w:r>
          </w:p>
        </w:tc>
        <w:tc>
          <w:tcPr>
            <w:tcW w:w="3827" w:type="dxa"/>
            <w:tcBorders>
              <w:top w:val="nil"/>
              <w:left w:val="nil"/>
              <w:bottom w:val="single" w:color="auto" w:sz="4" w:space="0"/>
              <w:right w:val="single" w:color="auto" w:sz="4" w:space="0"/>
            </w:tcBorders>
            <w:noWrap w:val="0"/>
            <w:vAlign w:val="center"/>
          </w:tcPr>
          <w:p w14:paraId="1F9BAEBD">
            <w:pPr>
              <w:adjustRightInd w:val="0"/>
              <w:spacing w:line="360" w:lineRule="auto"/>
              <w:ind w:firstLine="0" w:firstLineChars="0"/>
              <w:rPr>
                <w:szCs w:val="21"/>
              </w:rPr>
            </w:pPr>
            <w:r>
              <w:rPr>
                <w:rFonts w:hint="eastAsia"/>
                <w:szCs w:val="21"/>
              </w:rPr>
              <w:t>考核扣款￥50元/次</w:t>
            </w:r>
          </w:p>
        </w:tc>
      </w:tr>
      <w:tr w14:paraId="1F544F87">
        <w:tblPrEx>
          <w:tblCellMar>
            <w:top w:w="0" w:type="dxa"/>
            <w:left w:w="108" w:type="dxa"/>
            <w:bottom w:w="0" w:type="dxa"/>
            <w:right w:w="108" w:type="dxa"/>
          </w:tblCellMar>
        </w:tblPrEx>
        <w:trPr>
          <w:trHeight w:val="289" w:hRule="atLeast"/>
        </w:trPr>
        <w:tc>
          <w:tcPr>
            <w:tcW w:w="709" w:type="dxa"/>
            <w:vMerge w:val="continue"/>
            <w:tcBorders>
              <w:top w:val="nil"/>
              <w:left w:val="single" w:color="auto" w:sz="4" w:space="0"/>
              <w:bottom w:val="nil"/>
              <w:right w:val="single" w:color="auto" w:sz="4" w:space="0"/>
            </w:tcBorders>
            <w:noWrap w:val="0"/>
            <w:vAlign w:val="center"/>
          </w:tcPr>
          <w:p w14:paraId="50185BFC">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769F267F">
            <w:pPr>
              <w:adjustRightInd w:val="0"/>
              <w:spacing w:line="360" w:lineRule="auto"/>
              <w:ind w:firstLine="0" w:firstLineChars="0"/>
              <w:rPr>
                <w:szCs w:val="21"/>
              </w:rPr>
            </w:pPr>
            <w:r>
              <w:rPr>
                <w:rFonts w:hint="eastAsia"/>
                <w:szCs w:val="21"/>
              </w:rPr>
              <w:t>8.中控室值班，发现问题没有及时上报或处置的</w:t>
            </w:r>
          </w:p>
        </w:tc>
        <w:tc>
          <w:tcPr>
            <w:tcW w:w="3827" w:type="dxa"/>
            <w:tcBorders>
              <w:top w:val="nil"/>
              <w:left w:val="nil"/>
              <w:bottom w:val="single" w:color="auto" w:sz="4" w:space="0"/>
              <w:right w:val="single" w:color="auto" w:sz="4" w:space="0"/>
            </w:tcBorders>
            <w:noWrap w:val="0"/>
            <w:vAlign w:val="center"/>
          </w:tcPr>
          <w:p w14:paraId="3FD6547D">
            <w:pPr>
              <w:adjustRightInd w:val="0"/>
              <w:spacing w:line="360" w:lineRule="auto"/>
              <w:ind w:firstLine="0" w:firstLineChars="0"/>
              <w:rPr>
                <w:szCs w:val="21"/>
              </w:rPr>
            </w:pPr>
            <w:r>
              <w:rPr>
                <w:rFonts w:hint="eastAsia"/>
                <w:szCs w:val="21"/>
              </w:rPr>
              <w:t>考核扣款￥100元/次</w:t>
            </w:r>
          </w:p>
        </w:tc>
      </w:tr>
      <w:tr w14:paraId="67BCFB4A">
        <w:tblPrEx>
          <w:tblCellMar>
            <w:top w:w="0" w:type="dxa"/>
            <w:left w:w="108" w:type="dxa"/>
            <w:bottom w:w="0" w:type="dxa"/>
            <w:right w:w="108" w:type="dxa"/>
          </w:tblCellMar>
        </w:tblPrEx>
        <w:trPr>
          <w:trHeight w:val="267" w:hRule="atLeast"/>
        </w:trPr>
        <w:tc>
          <w:tcPr>
            <w:tcW w:w="709" w:type="dxa"/>
            <w:vMerge w:val="continue"/>
            <w:tcBorders>
              <w:top w:val="nil"/>
              <w:left w:val="single" w:color="auto" w:sz="4" w:space="0"/>
              <w:bottom w:val="nil"/>
              <w:right w:val="single" w:color="auto" w:sz="4" w:space="0"/>
            </w:tcBorders>
            <w:noWrap w:val="0"/>
            <w:vAlign w:val="center"/>
          </w:tcPr>
          <w:p w14:paraId="608E22E3">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3D2CD2D4">
            <w:pPr>
              <w:adjustRightInd w:val="0"/>
              <w:spacing w:line="360" w:lineRule="auto"/>
              <w:ind w:firstLine="0" w:firstLineChars="0"/>
              <w:rPr>
                <w:szCs w:val="21"/>
              </w:rPr>
            </w:pPr>
            <w:r>
              <w:rPr>
                <w:rFonts w:hint="eastAsia"/>
                <w:szCs w:val="21"/>
              </w:rPr>
              <w:t>9.发生突发事件或紧急集合时未按规定时间到达现场</w:t>
            </w:r>
          </w:p>
        </w:tc>
        <w:tc>
          <w:tcPr>
            <w:tcW w:w="3827" w:type="dxa"/>
            <w:tcBorders>
              <w:top w:val="nil"/>
              <w:left w:val="nil"/>
              <w:bottom w:val="single" w:color="auto" w:sz="4" w:space="0"/>
              <w:right w:val="single" w:color="auto" w:sz="4" w:space="0"/>
            </w:tcBorders>
            <w:noWrap w:val="0"/>
            <w:vAlign w:val="center"/>
          </w:tcPr>
          <w:p w14:paraId="724AD558">
            <w:pPr>
              <w:adjustRightInd w:val="0"/>
              <w:spacing w:line="360" w:lineRule="auto"/>
              <w:ind w:firstLine="0" w:firstLineChars="0"/>
              <w:rPr>
                <w:szCs w:val="21"/>
              </w:rPr>
            </w:pPr>
            <w:r>
              <w:rPr>
                <w:rFonts w:hint="eastAsia"/>
                <w:szCs w:val="21"/>
              </w:rPr>
              <w:t>考核扣款￥200元/次</w:t>
            </w:r>
          </w:p>
        </w:tc>
      </w:tr>
      <w:tr w14:paraId="55D7A684">
        <w:tblPrEx>
          <w:tblCellMar>
            <w:top w:w="0" w:type="dxa"/>
            <w:left w:w="108" w:type="dxa"/>
            <w:bottom w:w="0" w:type="dxa"/>
            <w:right w:w="108" w:type="dxa"/>
          </w:tblCellMar>
        </w:tblPrEx>
        <w:trPr>
          <w:trHeight w:val="267" w:hRule="atLeast"/>
        </w:trPr>
        <w:tc>
          <w:tcPr>
            <w:tcW w:w="709" w:type="dxa"/>
            <w:vMerge w:val="continue"/>
            <w:tcBorders>
              <w:top w:val="nil"/>
              <w:left w:val="single" w:color="auto" w:sz="4" w:space="0"/>
              <w:bottom w:val="nil"/>
              <w:right w:val="single" w:color="auto" w:sz="4" w:space="0"/>
            </w:tcBorders>
            <w:noWrap w:val="0"/>
            <w:vAlign w:val="center"/>
          </w:tcPr>
          <w:p w14:paraId="1158DB06">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15F21937">
            <w:pPr>
              <w:adjustRightInd w:val="0"/>
              <w:spacing w:line="360" w:lineRule="auto"/>
              <w:ind w:firstLine="0" w:firstLineChars="0"/>
              <w:rPr>
                <w:szCs w:val="21"/>
              </w:rPr>
            </w:pPr>
            <w:r>
              <w:rPr>
                <w:rFonts w:hint="eastAsia"/>
                <w:szCs w:val="21"/>
              </w:rPr>
              <w:t>10.周界入侵测试，成功入侵未完成有效围捕的</w:t>
            </w:r>
          </w:p>
        </w:tc>
        <w:tc>
          <w:tcPr>
            <w:tcW w:w="3827" w:type="dxa"/>
            <w:tcBorders>
              <w:top w:val="nil"/>
              <w:left w:val="nil"/>
              <w:bottom w:val="single" w:color="auto" w:sz="4" w:space="0"/>
              <w:right w:val="single" w:color="auto" w:sz="4" w:space="0"/>
            </w:tcBorders>
            <w:noWrap w:val="0"/>
            <w:vAlign w:val="center"/>
          </w:tcPr>
          <w:p w14:paraId="173EDA83">
            <w:pPr>
              <w:adjustRightInd w:val="0"/>
              <w:spacing w:line="360" w:lineRule="auto"/>
              <w:ind w:firstLine="0" w:firstLineChars="0"/>
              <w:rPr>
                <w:szCs w:val="21"/>
              </w:rPr>
            </w:pPr>
            <w:r>
              <w:rPr>
                <w:rFonts w:hint="eastAsia"/>
                <w:szCs w:val="21"/>
              </w:rPr>
              <w:t>考核扣款￥100元/次</w:t>
            </w:r>
          </w:p>
        </w:tc>
      </w:tr>
      <w:tr w14:paraId="11B9F831">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noWrap w:val="0"/>
            <w:vAlign w:val="center"/>
          </w:tcPr>
          <w:p w14:paraId="23C5F5D9">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34E1EA05">
            <w:pPr>
              <w:adjustRightInd w:val="0"/>
              <w:spacing w:line="360" w:lineRule="auto"/>
              <w:ind w:firstLine="0" w:firstLineChars="0"/>
              <w:rPr>
                <w:szCs w:val="21"/>
              </w:rPr>
            </w:pPr>
            <w:r>
              <w:rPr>
                <w:rFonts w:hint="eastAsia"/>
                <w:szCs w:val="21"/>
              </w:rPr>
              <w:t>11.其他因乙方安全管理不到位引发的安全责任事件</w:t>
            </w:r>
          </w:p>
        </w:tc>
        <w:tc>
          <w:tcPr>
            <w:tcW w:w="3827" w:type="dxa"/>
            <w:tcBorders>
              <w:top w:val="nil"/>
              <w:left w:val="nil"/>
              <w:bottom w:val="single" w:color="auto" w:sz="4" w:space="0"/>
              <w:right w:val="single" w:color="auto" w:sz="4" w:space="0"/>
            </w:tcBorders>
            <w:noWrap w:val="0"/>
            <w:vAlign w:val="center"/>
          </w:tcPr>
          <w:p w14:paraId="0BB03FCE">
            <w:pPr>
              <w:adjustRightInd w:val="0"/>
              <w:spacing w:line="360" w:lineRule="auto"/>
              <w:ind w:firstLine="0" w:firstLineChars="0"/>
              <w:rPr>
                <w:szCs w:val="21"/>
              </w:rPr>
            </w:pPr>
            <w:r>
              <w:rPr>
                <w:rFonts w:hint="eastAsia"/>
                <w:szCs w:val="21"/>
              </w:rPr>
              <w:t>视情况扣款追责</w:t>
            </w:r>
          </w:p>
        </w:tc>
      </w:tr>
      <w:tr w14:paraId="37BF4AC8">
        <w:tblPrEx>
          <w:tblCellMar>
            <w:top w:w="0" w:type="dxa"/>
            <w:left w:w="108" w:type="dxa"/>
            <w:bottom w:w="0" w:type="dxa"/>
            <w:right w:w="108" w:type="dxa"/>
          </w:tblCellMar>
        </w:tblPrEx>
        <w:trPr>
          <w:trHeight w:val="480" w:hRule="atLeast"/>
        </w:trPr>
        <w:tc>
          <w:tcPr>
            <w:tcW w:w="709" w:type="dxa"/>
            <w:vMerge w:val="restart"/>
            <w:tcBorders>
              <w:top w:val="nil"/>
              <w:left w:val="single" w:color="auto" w:sz="4" w:space="0"/>
              <w:bottom w:val="single" w:color="auto" w:sz="4" w:space="0"/>
              <w:right w:val="single" w:color="auto" w:sz="4" w:space="0"/>
            </w:tcBorders>
            <w:noWrap w:val="0"/>
            <w:vAlign w:val="center"/>
          </w:tcPr>
          <w:p w14:paraId="7B7D908B">
            <w:pPr>
              <w:adjustRightInd w:val="0"/>
              <w:spacing w:line="360" w:lineRule="auto"/>
              <w:ind w:firstLine="0" w:firstLineChars="0"/>
              <w:rPr>
                <w:szCs w:val="21"/>
              </w:rPr>
            </w:pPr>
            <w:r>
              <w:rPr>
                <w:rFonts w:hint="eastAsia"/>
                <w:szCs w:val="21"/>
              </w:rPr>
              <w:t>服务质量</w:t>
            </w:r>
          </w:p>
        </w:tc>
        <w:tc>
          <w:tcPr>
            <w:tcW w:w="4819" w:type="dxa"/>
            <w:tcBorders>
              <w:top w:val="nil"/>
              <w:left w:val="nil"/>
              <w:bottom w:val="single" w:color="auto" w:sz="4" w:space="0"/>
              <w:right w:val="single" w:color="auto" w:sz="4" w:space="0"/>
            </w:tcBorders>
            <w:noWrap w:val="0"/>
            <w:vAlign w:val="center"/>
          </w:tcPr>
          <w:p w14:paraId="03C01E8F">
            <w:pPr>
              <w:adjustRightInd w:val="0"/>
              <w:spacing w:line="360" w:lineRule="auto"/>
              <w:ind w:firstLine="0" w:firstLineChars="0"/>
              <w:rPr>
                <w:szCs w:val="21"/>
              </w:rPr>
            </w:pPr>
            <w:r>
              <w:rPr>
                <w:rFonts w:hint="eastAsia"/>
                <w:szCs w:val="21"/>
              </w:rPr>
              <w:t>1.客户对秩序专业满意度未达到88%</w:t>
            </w:r>
          </w:p>
        </w:tc>
        <w:tc>
          <w:tcPr>
            <w:tcW w:w="3827" w:type="dxa"/>
            <w:tcBorders>
              <w:top w:val="nil"/>
              <w:left w:val="nil"/>
              <w:bottom w:val="single" w:color="auto" w:sz="4" w:space="0"/>
              <w:right w:val="single" w:color="auto" w:sz="4" w:space="0"/>
            </w:tcBorders>
            <w:noWrap w:val="0"/>
            <w:vAlign w:val="center"/>
          </w:tcPr>
          <w:p w14:paraId="3403A6FE">
            <w:pPr>
              <w:adjustRightInd w:val="0"/>
              <w:spacing w:line="360" w:lineRule="auto"/>
              <w:ind w:firstLine="0" w:firstLineChars="0"/>
              <w:rPr>
                <w:szCs w:val="21"/>
              </w:rPr>
            </w:pPr>
            <w:r>
              <w:rPr>
                <w:rFonts w:hint="eastAsia"/>
                <w:szCs w:val="21"/>
              </w:rPr>
              <w:t>年度满意度结果低于指标1%，考核扣款1000元。上限5000元。</w:t>
            </w:r>
          </w:p>
        </w:tc>
      </w:tr>
      <w:tr w14:paraId="1A515A46">
        <w:tblPrEx>
          <w:tblCellMar>
            <w:top w:w="0" w:type="dxa"/>
            <w:left w:w="108" w:type="dxa"/>
            <w:bottom w:w="0" w:type="dxa"/>
            <w:right w:w="108" w:type="dxa"/>
          </w:tblCellMar>
        </w:tblPrEx>
        <w:trPr>
          <w:trHeight w:val="48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D769DCA">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2CC99E75">
            <w:pPr>
              <w:adjustRightInd w:val="0"/>
              <w:spacing w:line="360" w:lineRule="auto"/>
              <w:ind w:firstLine="0" w:firstLineChars="0"/>
              <w:rPr>
                <w:szCs w:val="21"/>
              </w:rPr>
            </w:pPr>
            <w:r>
              <w:rPr>
                <w:rFonts w:hint="eastAsia"/>
                <w:szCs w:val="21"/>
              </w:rPr>
              <w:t>2.乙方员工发生打骂客户、扰乱现场秩序、骚扰女客户/女业主等事件。</w:t>
            </w:r>
          </w:p>
        </w:tc>
        <w:tc>
          <w:tcPr>
            <w:tcW w:w="3827" w:type="dxa"/>
            <w:tcBorders>
              <w:top w:val="nil"/>
              <w:left w:val="nil"/>
              <w:bottom w:val="single" w:color="auto" w:sz="4" w:space="0"/>
              <w:right w:val="single" w:color="auto" w:sz="4" w:space="0"/>
            </w:tcBorders>
            <w:noWrap w:val="0"/>
            <w:vAlign w:val="center"/>
          </w:tcPr>
          <w:p w14:paraId="542B3421">
            <w:pPr>
              <w:adjustRightInd w:val="0"/>
              <w:spacing w:line="360" w:lineRule="auto"/>
              <w:ind w:firstLine="0" w:firstLineChars="0"/>
              <w:rPr>
                <w:szCs w:val="21"/>
              </w:rPr>
            </w:pPr>
            <w:r>
              <w:rPr>
                <w:rFonts w:hint="eastAsia"/>
                <w:szCs w:val="21"/>
              </w:rPr>
              <w:t>考核扣款5000-10000元，并承担经济和名誉损失，甲方保留法律追责权利。</w:t>
            </w:r>
          </w:p>
        </w:tc>
      </w:tr>
      <w:tr w14:paraId="4CB80E84">
        <w:tblPrEx>
          <w:tblCellMar>
            <w:top w:w="0" w:type="dxa"/>
            <w:left w:w="108" w:type="dxa"/>
            <w:bottom w:w="0" w:type="dxa"/>
            <w:right w:w="108" w:type="dxa"/>
          </w:tblCellMar>
        </w:tblPrEx>
        <w:trPr>
          <w:trHeight w:val="48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C961F56">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7B980313">
            <w:pPr>
              <w:adjustRightInd w:val="0"/>
              <w:spacing w:line="360" w:lineRule="auto"/>
              <w:ind w:firstLine="0" w:firstLineChars="0"/>
              <w:rPr>
                <w:szCs w:val="21"/>
              </w:rPr>
            </w:pPr>
            <w:r>
              <w:rPr>
                <w:rFonts w:hint="eastAsia"/>
                <w:szCs w:val="21"/>
              </w:rPr>
              <w:t>3.不当班时穿着制服在园区内外逗留并发生影响公司形象的行为</w:t>
            </w:r>
          </w:p>
        </w:tc>
        <w:tc>
          <w:tcPr>
            <w:tcW w:w="3827" w:type="dxa"/>
            <w:tcBorders>
              <w:top w:val="nil"/>
              <w:left w:val="nil"/>
              <w:bottom w:val="single" w:color="auto" w:sz="4" w:space="0"/>
              <w:right w:val="single" w:color="auto" w:sz="4" w:space="0"/>
            </w:tcBorders>
            <w:noWrap w:val="0"/>
            <w:vAlign w:val="center"/>
          </w:tcPr>
          <w:p w14:paraId="289075C7">
            <w:pPr>
              <w:adjustRightInd w:val="0"/>
              <w:spacing w:line="360" w:lineRule="auto"/>
              <w:ind w:firstLine="0" w:firstLineChars="0"/>
              <w:rPr>
                <w:szCs w:val="21"/>
              </w:rPr>
            </w:pPr>
            <w:r>
              <w:rPr>
                <w:rFonts w:hint="eastAsia"/>
                <w:szCs w:val="21"/>
              </w:rPr>
              <w:t>考核扣款￥200元/次</w:t>
            </w:r>
          </w:p>
        </w:tc>
      </w:tr>
      <w:tr w14:paraId="1CACA996">
        <w:tblPrEx>
          <w:tblCellMar>
            <w:top w:w="0" w:type="dxa"/>
            <w:left w:w="108" w:type="dxa"/>
            <w:bottom w:w="0" w:type="dxa"/>
            <w:right w:w="108" w:type="dxa"/>
          </w:tblCellMar>
        </w:tblPrEx>
        <w:trPr>
          <w:trHeight w:val="51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DFACBA4">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781C5452">
            <w:pPr>
              <w:adjustRightInd w:val="0"/>
              <w:spacing w:line="360" w:lineRule="auto"/>
              <w:ind w:firstLine="0" w:firstLineChars="0"/>
              <w:rPr>
                <w:szCs w:val="21"/>
              </w:rPr>
            </w:pPr>
            <w:r>
              <w:rPr>
                <w:rFonts w:hint="eastAsia"/>
                <w:szCs w:val="21"/>
              </w:rPr>
              <w:t>4.当班时窜岗、聚岗、聊天、嬉笑打闹、玩手机、吃东西、饮酒及其他不当的行为</w:t>
            </w:r>
          </w:p>
        </w:tc>
        <w:tc>
          <w:tcPr>
            <w:tcW w:w="3827" w:type="dxa"/>
            <w:tcBorders>
              <w:top w:val="nil"/>
              <w:left w:val="nil"/>
              <w:bottom w:val="single" w:color="auto" w:sz="4" w:space="0"/>
              <w:right w:val="single" w:color="auto" w:sz="4" w:space="0"/>
            </w:tcBorders>
            <w:noWrap w:val="0"/>
            <w:vAlign w:val="center"/>
          </w:tcPr>
          <w:p w14:paraId="4C6D5025">
            <w:pPr>
              <w:adjustRightInd w:val="0"/>
              <w:spacing w:line="360" w:lineRule="auto"/>
              <w:ind w:firstLine="0" w:firstLineChars="0"/>
              <w:rPr>
                <w:szCs w:val="21"/>
              </w:rPr>
            </w:pPr>
            <w:r>
              <w:rPr>
                <w:rFonts w:hint="eastAsia"/>
                <w:szCs w:val="21"/>
              </w:rPr>
              <w:t>考核扣款￥50元/次</w:t>
            </w:r>
          </w:p>
        </w:tc>
      </w:tr>
      <w:tr w14:paraId="20AFCE8F">
        <w:tblPrEx>
          <w:tblCellMar>
            <w:top w:w="0" w:type="dxa"/>
            <w:left w:w="108" w:type="dxa"/>
            <w:bottom w:w="0" w:type="dxa"/>
            <w:right w:w="108" w:type="dxa"/>
          </w:tblCellMar>
        </w:tblPrEx>
        <w:trPr>
          <w:trHeight w:val="30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1B149FA">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7EBCB83A">
            <w:pPr>
              <w:adjustRightInd w:val="0"/>
              <w:spacing w:line="360" w:lineRule="auto"/>
              <w:ind w:firstLine="0" w:firstLineChars="0"/>
              <w:rPr>
                <w:szCs w:val="21"/>
              </w:rPr>
            </w:pPr>
            <w:r>
              <w:rPr>
                <w:rFonts w:hint="eastAsia"/>
                <w:szCs w:val="21"/>
              </w:rPr>
              <w:t>5.值班期间有睡岗、脱岗行为的</w:t>
            </w:r>
          </w:p>
        </w:tc>
        <w:tc>
          <w:tcPr>
            <w:tcW w:w="3827" w:type="dxa"/>
            <w:tcBorders>
              <w:top w:val="nil"/>
              <w:left w:val="nil"/>
              <w:bottom w:val="single" w:color="auto" w:sz="4" w:space="0"/>
              <w:right w:val="single" w:color="auto" w:sz="4" w:space="0"/>
            </w:tcBorders>
            <w:noWrap w:val="0"/>
            <w:vAlign w:val="center"/>
          </w:tcPr>
          <w:p w14:paraId="57E4B941">
            <w:pPr>
              <w:adjustRightInd w:val="0"/>
              <w:spacing w:line="360" w:lineRule="auto"/>
              <w:ind w:firstLine="0" w:firstLineChars="0"/>
              <w:rPr>
                <w:szCs w:val="21"/>
              </w:rPr>
            </w:pPr>
            <w:r>
              <w:rPr>
                <w:rFonts w:hint="eastAsia"/>
                <w:szCs w:val="21"/>
              </w:rPr>
              <w:t>考核扣款￥200元/次</w:t>
            </w:r>
          </w:p>
        </w:tc>
      </w:tr>
      <w:tr w14:paraId="77F3379B">
        <w:tblPrEx>
          <w:tblCellMar>
            <w:top w:w="0" w:type="dxa"/>
            <w:left w:w="108" w:type="dxa"/>
            <w:bottom w:w="0" w:type="dxa"/>
            <w:right w:w="108" w:type="dxa"/>
          </w:tblCellMar>
        </w:tblPrEx>
        <w:trPr>
          <w:trHeight w:val="30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054BECD">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51D47D16">
            <w:pPr>
              <w:adjustRightInd w:val="0"/>
              <w:spacing w:line="360" w:lineRule="auto"/>
              <w:ind w:firstLine="0" w:firstLineChars="0"/>
              <w:rPr>
                <w:szCs w:val="21"/>
              </w:rPr>
            </w:pPr>
            <w:r>
              <w:rPr>
                <w:rFonts w:hint="eastAsia"/>
                <w:szCs w:val="21"/>
              </w:rPr>
              <w:t>6.值班期间，礼节礼貌执行不到位</w:t>
            </w:r>
          </w:p>
        </w:tc>
        <w:tc>
          <w:tcPr>
            <w:tcW w:w="3827" w:type="dxa"/>
            <w:tcBorders>
              <w:top w:val="nil"/>
              <w:left w:val="nil"/>
              <w:bottom w:val="single" w:color="auto" w:sz="4" w:space="0"/>
              <w:right w:val="single" w:color="auto" w:sz="4" w:space="0"/>
            </w:tcBorders>
            <w:noWrap w:val="0"/>
            <w:vAlign w:val="center"/>
          </w:tcPr>
          <w:p w14:paraId="5D2B4000">
            <w:pPr>
              <w:adjustRightInd w:val="0"/>
              <w:spacing w:line="360" w:lineRule="auto"/>
              <w:ind w:firstLine="0" w:firstLineChars="0"/>
              <w:rPr>
                <w:szCs w:val="21"/>
              </w:rPr>
            </w:pPr>
            <w:r>
              <w:rPr>
                <w:rFonts w:hint="eastAsia"/>
                <w:szCs w:val="21"/>
              </w:rPr>
              <w:t>考核扣款￥50元/次</w:t>
            </w:r>
          </w:p>
        </w:tc>
      </w:tr>
      <w:tr w14:paraId="1F5FCE54">
        <w:tblPrEx>
          <w:tblCellMar>
            <w:top w:w="0" w:type="dxa"/>
            <w:left w:w="108" w:type="dxa"/>
            <w:bottom w:w="0" w:type="dxa"/>
            <w:right w:w="108" w:type="dxa"/>
          </w:tblCellMar>
        </w:tblPrEx>
        <w:trPr>
          <w:trHeight w:val="239"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5D9525B">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04F90B8C">
            <w:pPr>
              <w:adjustRightInd w:val="0"/>
              <w:spacing w:line="360" w:lineRule="auto"/>
              <w:ind w:firstLine="0" w:firstLineChars="0"/>
              <w:rPr>
                <w:szCs w:val="21"/>
              </w:rPr>
            </w:pPr>
            <w:r>
              <w:rPr>
                <w:rFonts w:hint="eastAsia"/>
                <w:szCs w:val="21"/>
              </w:rPr>
              <w:t>7.利用职务索要或收受财物、损害甲方利益</w:t>
            </w:r>
          </w:p>
        </w:tc>
        <w:tc>
          <w:tcPr>
            <w:tcW w:w="3827" w:type="dxa"/>
            <w:tcBorders>
              <w:top w:val="nil"/>
              <w:left w:val="nil"/>
              <w:bottom w:val="single" w:color="auto" w:sz="4" w:space="0"/>
              <w:right w:val="single" w:color="auto" w:sz="4" w:space="0"/>
            </w:tcBorders>
            <w:noWrap w:val="0"/>
            <w:vAlign w:val="center"/>
          </w:tcPr>
          <w:p w14:paraId="5610AD95">
            <w:pPr>
              <w:adjustRightInd w:val="0"/>
              <w:spacing w:line="360" w:lineRule="auto"/>
              <w:ind w:firstLine="0" w:firstLineChars="0"/>
              <w:rPr>
                <w:szCs w:val="21"/>
              </w:rPr>
            </w:pPr>
            <w:r>
              <w:rPr>
                <w:rFonts w:hint="eastAsia"/>
                <w:szCs w:val="21"/>
              </w:rPr>
              <w:t>考核扣款￥500元并退缴财物</w:t>
            </w:r>
          </w:p>
        </w:tc>
      </w:tr>
      <w:tr w14:paraId="33FD4BFA">
        <w:tblPrEx>
          <w:tblCellMar>
            <w:top w:w="0" w:type="dxa"/>
            <w:left w:w="108" w:type="dxa"/>
            <w:bottom w:w="0" w:type="dxa"/>
            <w:right w:w="108" w:type="dxa"/>
          </w:tblCellMar>
        </w:tblPrEx>
        <w:trPr>
          <w:trHeight w:val="371"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85C44C0">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1ACBFC94">
            <w:pPr>
              <w:adjustRightInd w:val="0"/>
              <w:spacing w:line="360" w:lineRule="auto"/>
              <w:ind w:firstLine="0" w:firstLineChars="0"/>
              <w:rPr>
                <w:szCs w:val="21"/>
              </w:rPr>
            </w:pPr>
            <w:r>
              <w:rPr>
                <w:rFonts w:hint="eastAsia"/>
                <w:szCs w:val="21"/>
              </w:rPr>
              <w:t>8.因服务不到位，受到合作方、同事、业主有效投诉的</w:t>
            </w:r>
          </w:p>
        </w:tc>
        <w:tc>
          <w:tcPr>
            <w:tcW w:w="3827" w:type="dxa"/>
            <w:tcBorders>
              <w:top w:val="nil"/>
              <w:left w:val="nil"/>
              <w:bottom w:val="single" w:color="auto" w:sz="4" w:space="0"/>
              <w:right w:val="single" w:color="auto" w:sz="4" w:space="0"/>
            </w:tcBorders>
            <w:noWrap w:val="0"/>
            <w:vAlign w:val="center"/>
          </w:tcPr>
          <w:p w14:paraId="07A4245E">
            <w:pPr>
              <w:adjustRightInd w:val="0"/>
              <w:spacing w:line="360" w:lineRule="auto"/>
              <w:ind w:firstLine="0" w:firstLineChars="0"/>
              <w:rPr>
                <w:szCs w:val="21"/>
              </w:rPr>
            </w:pPr>
            <w:r>
              <w:rPr>
                <w:rFonts w:hint="eastAsia"/>
                <w:szCs w:val="21"/>
              </w:rPr>
              <w:t>第一次考核扣款￥100元，</w:t>
            </w:r>
          </w:p>
          <w:p w14:paraId="664C42FB">
            <w:pPr>
              <w:adjustRightInd w:val="0"/>
              <w:spacing w:line="360" w:lineRule="auto"/>
              <w:ind w:firstLine="0" w:firstLineChars="0"/>
              <w:rPr>
                <w:szCs w:val="21"/>
              </w:rPr>
            </w:pPr>
            <w:r>
              <w:rPr>
                <w:rFonts w:hint="eastAsia"/>
                <w:szCs w:val="21"/>
              </w:rPr>
              <w:t>第二次考核扣款200元，</w:t>
            </w:r>
          </w:p>
          <w:p w14:paraId="4EF28499">
            <w:pPr>
              <w:adjustRightInd w:val="0"/>
              <w:spacing w:line="360" w:lineRule="auto"/>
              <w:ind w:firstLine="0" w:firstLineChars="0"/>
              <w:rPr>
                <w:szCs w:val="21"/>
              </w:rPr>
            </w:pPr>
            <w:r>
              <w:rPr>
                <w:rFonts w:hint="eastAsia"/>
                <w:szCs w:val="21"/>
              </w:rPr>
              <w:t>第三次考核扣款400元，</w:t>
            </w:r>
          </w:p>
          <w:p w14:paraId="17A99552">
            <w:pPr>
              <w:adjustRightInd w:val="0"/>
              <w:spacing w:line="360" w:lineRule="auto"/>
              <w:ind w:firstLine="0" w:firstLineChars="0"/>
              <w:rPr>
                <w:szCs w:val="21"/>
              </w:rPr>
            </w:pPr>
            <w:r>
              <w:rPr>
                <w:rFonts w:hint="eastAsia"/>
                <w:szCs w:val="21"/>
              </w:rPr>
              <w:t>第四次考核扣款800元，以此类推；</w:t>
            </w:r>
          </w:p>
        </w:tc>
      </w:tr>
      <w:tr w14:paraId="35338D40">
        <w:tblPrEx>
          <w:tblCellMar>
            <w:top w:w="0" w:type="dxa"/>
            <w:left w:w="108" w:type="dxa"/>
            <w:bottom w:w="0" w:type="dxa"/>
            <w:right w:w="108" w:type="dxa"/>
          </w:tblCellMar>
        </w:tblPrEx>
        <w:trPr>
          <w:trHeight w:val="217"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A0385A3">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135F668C">
            <w:pPr>
              <w:adjustRightInd w:val="0"/>
              <w:spacing w:line="360" w:lineRule="auto"/>
              <w:ind w:firstLine="0" w:firstLineChars="0"/>
              <w:rPr>
                <w:szCs w:val="21"/>
              </w:rPr>
            </w:pPr>
            <w:r>
              <w:rPr>
                <w:rFonts w:hint="eastAsia"/>
                <w:szCs w:val="21"/>
              </w:rPr>
              <w:t>9.捡拾物品藏匿不上缴</w:t>
            </w:r>
          </w:p>
        </w:tc>
        <w:tc>
          <w:tcPr>
            <w:tcW w:w="3827" w:type="dxa"/>
            <w:tcBorders>
              <w:top w:val="nil"/>
              <w:left w:val="nil"/>
              <w:bottom w:val="single" w:color="auto" w:sz="4" w:space="0"/>
              <w:right w:val="single" w:color="auto" w:sz="4" w:space="0"/>
            </w:tcBorders>
            <w:noWrap w:val="0"/>
            <w:vAlign w:val="center"/>
          </w:tcPr>
          <w:p w14:paraId="26DB5084">
            <w:pPr>
              <w:adjustRightInd w:val="0"/>
              <w:spacing w:line="360" w:lineRule="auto"/>
              <w:ind w:firstLine="0" w:firstLineChars="0"/>
              <w:rPr>
                <w:szCs w:val="21"/>
              </w:rPr>
            </w:pPr>
            <w:r>
              <w:rPr>
                <w:rFonts w:hint="eastAsia"/>
                <w:szCs w:val="21"/>
              </w:rPr>
              <w:t>考核扣款￥500元/次</w:t>
            </w:r>
          </w:p>
        </w:tc>
      </w:tr>
      <w:tr w14:paraId="292BA0B5">
        <w:tblPrEx>
          <w:tblCellMar>
            <w:top w:w="0" w:type="dxa"/>
            <w:left w:w="108" w:type="dxa"/>
            <w:bottom w:w="0" w:type="dxa"/>
            <w:right w:w="108" w:type="dxa"/>
          </w:tblCellMar>
        </w:tblPrEx>
        <w:trPr>
          <w:trHeight w:val="176"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6F2C3F52">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54028E30">
            <w:pPr>
              <w:adjustRightInd w:val="0"/>
              <w:spacing w:line="360" w:lineRule="auto"/>
              <w:ind w:firstLine="0" w:firstLineChars="0"/>
              <w:rPr>
                <w:szCs w:val="21"/>
              </w:rPr>
            </w:pPr>
            <w:r>
              <w:rPr>
                <w:rFonts w:hint="eastAsia"/>
                <w:szCs w:val="21"/>
              </w:rPr>
              <w:t>10</w:t>
            </w:r>
            <w:r>
              <w:rPr>
                <w:szCs w:val="21"/>
              </w:rPr>
              <w:t>.</w:t>
            </w:r>
            <w:r>
              <w:rPr>
                <w:rFonts w:hint="eastAsia"/>
                <w:szCs w:val="21"/>
              </w:rPr>
              <w:t>遇访客咨询，敷衍了事或避不作答，用语不礼貌不文明</w:t>
            </w:r>
          </w:p>
        </w:tc>
        <w:tc>
          <w:tcPr>
            <w:tcW w:w="3827" w:type="dxa"/>
            <w:tcBorders>
              <w:top w:val="single" w:color="auto" w:sz="4" w:space="0"/>
              <w:left w:val="nil"/>
              <w:bottom w:val="single" w:color="auto" w:sz="4" w:space="0"/>
              <w:right w:val="single" w:color="auto" w:sz="4" w:space="0"/>
            </w:tcBorders>
            <w:noWrap w:val="0"/>
            <w:vAlign w:val="center"/>
          </w:tcPr>
          <w:p w14:paraId="1D57409D">
            <w:pPr>
              <w:adjustRightInd w:val="0"/>
              <w:spacing w:line="360" w:lineRule="auto"/>
              <w:ind w:firstLine="0" w:firstLineChars="0"/>
              <w:rPr>
                <w:szCs w:val="21"/>
              </w:rPr>
            </w:pPr>
            <w:r>
              <w:rPr>
                <w:rFonts w:hint="eastAsia"/>
                <w:szCs w:val="21"/>
              </w:rPr>
              <w:t>考核扣款￥100元/次</w:t>
            </w:r>
          </w:p>
        </w:tc>
      </w:tr>
      <w:tr w14:paraId="4F862442">
        <w:tblPrEx>
          <w:tblCellMar>
            <w:top w:w="0" w:type="dxa"/>
            <w:left w:w="108" w:type="dxa"/>
            <w:bottom w:w="0" w:type="dxa"/>
            <w:right w:w="108" w:type="dxa"/>
          </w:tblCellMar>
        </w:tblPrEx>
        <w:trPr>
          <w:trHeight w:val="122"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2F4E973">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10FC8D42">
            <w:pPr>
              <w:adjustRightInd w:val="0"/>
              <w:spacing w:line="360" w:lineRule="auto"/>
              <w:ind w:firstLine="0" w:firstLineChars="0"/>
              <w:rPr>
                <w:szCs w:val="21"/>
              </w:rPr>
            </w:pPr>
            <w:r>
              <w:rPr>
                <w:rFonts w:hint="eastAsia"/>
                <w:szCs w:val="21"/>
              </w:rPr>
              <w:t>11.不熟悉岗位职责、岗位操作流程、消防基础知识、消防设备位置及正确的使用方法</w:t>
            </w:r>
          </w:p>
        </w:tc>
        <w:tc>
          <w:tcPr>
            <w:tcW w:w="3827" w:type="dxa"/>
            <w:tcBorders>
              <w:top w:val="single" w:color="auto" w:sz="4" w:space="0"/>
              <w:left w:val="nil"/>
              <w:bottom w:val="single" w:color="auto" w:sz="4" w:space="0"/>
              <w:right w:val="single" w:color="auto" w:sz="4" w:space="0"/>
            </w:tcBorders>
            <w:noWrap w:val="0"/>
            <w:vAlign w:val="center"/>
          </w:tcPr>
          <w:p w14:paraId="3CF59139">
            <w:pPr>
              <w:adjustRightInd w:val="0"/>
              <w:spacing w:line="360" w:lineRule="auto"/>
              <w:ind w:firstLine="0" w:firstLineChars="0"/>
              <w:rPr>
                <w:szCs w:val="21"/>
              </w:rPr>
            </w:pPr>
            <w:r>
              <w:rPr>
                <w:rFonts w:hint="eastAsia"/>
                <w:szCs w:val="21"/>
              </w:rPr>
              <w:t>考核扣款￥100元/人/次</w:t>
            </w:r>
          </w:p>
        </w:tc>
      </w:tr>
      <w:tr w14:paraId="7D8A77D5">
        <w:tblPrEx>
          <w:tblCellMar>
            <w:top w:w="0" w:type="dxa"/>
            <w:left w:w="108" w:type="dxa"/>
            <w:bottom w:w="0" w:type="dxa"/>
            <w:right w:w="108" w:type="dxa"/>
          </w:tblCellMar>
        </w:tblPrEx>
        <w:trPr>
          <w:trHeight w:val="1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C3148CD">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0939CB65">
            <w:pPr>
              <w:adjustRightInd w:val="0"/>
              <w:spacing w:line="360" w:lineRule="auto"/>
              <w:ind w:firstLine="0" w:firstLineChars="0"/>
              <w:rPr>
                <w:szCs w:val="21"/>
              </w:rPr>
            </w:pPr>
            <w:r>
              <w:rPr>
                <w:rFonts w:hint="eastAsia"/>
                <w:szCs w:val="21"/>
              </w:rPr>
              <w:t>12.不熟悉园区基本情况（楼栋、户位、卫生间、电梯、逃生通道、安全出口、消防通道等位置）</w:t>
            </w:r>
          </w:p>
        </w:tc>
        <w:tc>
          <w:tcPr>
            <w:tcW w:w="3827" w:type="dxa"/>
            <w:tcBorders>
              <w:top w:val="single" w:color="auto" w:sz="4" w:space="0"/>
              <w:left w:val="nil"/>
              <w:bottom w:val="single" w:color="auto" w:sz="4" w:space="0"/>
              <w:right w:val="single" w:color="auto" w:sz="4" w:space="0"/>
            </w:tcBorders>
            <w:noWrap w:val="0"/>
            <w:vAlign w:val="center"/>
          </w:tcPr>
          <w:p w14:paraId="3800F5ED">
            <w:pPr>
              <w:adjustRightInd w:val="0"/>
              <w:spacing w:line="360" w:lineRule="auto"/>
              <w:ind w:firstLine="0" w:firstLineChars="0"/>
              <w:rPr>
                <w:szCs w:val="21"/>
              </w:rPr>
            </w:pPr>
            <w:r>
              <w:rPr>
                <w:rFonts w:hint="eastAsia"/>
                <w:szCs w:val="21"/>
              </w:rPr>
              <w:t>考核扣款￥50元/次</w:t>
            </w:r>
          </w:p>
        </w:tc>
      </w:tr>
      <w:tr w14:paraId="5501D63A">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48CD1C7">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29878682">
            <w:pPr>
              <w:adjustRightInd w:val="0"/>
              <w:spacing w:line="360" w:lineRule="auto"/>
              <w:ind w:firstLine="0" w:firstLineChars="0"/>
              <w:rPr>
                <w:szCs w:val="21"/>
              </w:rPr>
            </w:pPr>
            <w:r>
              <w:rPr>
                <w:rFonts w:hint="eastAsia"/>
                <w:szCs w:val="21"/>
              </w:rPr>
              <w:t>13.主管岗位督勤不到位（白班不低于3次，夜间不低于4次，漏岗和频次不够均属督勤不到位）</w:t>
            </w:r>
          </w:p>
        </w:tc>
        <w:tc>
          <w:tcPr>
            <w:tcW w:w="3827" w:type="dxa"/>
            <w:tcBorders>
              <w:top w:val="single" w:color="auto" w:sz="4" w:space="0"/>
              <w:left w:val="nil"/>
              <w:bottom w:val="single" w:color="auto" w:sz="4" w:space="0"/>
              <w:right w:val="single" w:color="auto" w:sz="4" w:space="0"/>
            </w:tcBorders>
            <w:noWrap w:val="0"/>
            <w:vAlign w:val="center"/>
          </w:tcPr>
          <w:p w14:paraId="65D2FDA6">
            <w:pPr>
              <w:adjustRightInd w:val="0"/>
              <w:spacing w:line="360" w:lineRule="auto"/>
              <w:ind w:firstLine="0" w:firstLineChars="0"/>
              <w:rPr>
                <w:szCs w:val="21"/>
              </w:rPr>
            </w:pPr>
            <w:r>
              <w:rPr>
                <w:rFonts w:hint="eastAsia"/>
                <w:szCs w:val="21"/>
              </w:rPr>
              <w:t>考核扣款￥50元/次</w:t>
            </w:r>
          </w:p>
        </w:tc>
      </w:tr>
      <w:tr w14:paraId="3F43426D">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69465A8">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1B67BAF6">
            <w:pPr>
              <w:adjustRightInd w:val="0"/>
              <w:spacing w:line="360" w:lineRule="auto"/>
              <w:ind w:firstLine="0" w:firstLineChars="0"/>
              <w:rPr>
                <w:szCs w:val="21"/>
              </w:rPr>
            </w:pPr>
            <w:r>
              <w:rPr>
                <w:rFonts w:hint="eastAsia"/>
                <w:szCs w:val="21"/>
              </w:rPr>
              <w:t>14.每班次未召开班前班后会、未实施带队交接班</w:t>
            </w:r>
          </w:p>
        </w:tc>
        <w:tc>
          <w:tcPr>
            <w:tcW w:w="3827" w:type="dxa"/>
            <w:tcBorders>
              <w:top w:val="single" w:color="auto" w:sz="4" w:space="0"/>
              <w:left w:val="nil"/>
              <w:bottom w:val="single" w:color="auto" w:sz="4" w:space="0"/>
              <w:right w:val="single" w:color="auto" w:sz="4" w:space="0"/>
            </w:tcBorders>
            <w:noWrap w:val="0"/>
            <w:vAlign w:val="center"/>
          </w:tcPr>
          <w:p w14:paraId="3F020E16">
            <w:pPr>
              <w:adjustRightInd w:val="0"/>
              <w:spacing w:line="360" w:lineRule="auto"/>
              <w:ind w:firstLine="0" w:firstLineChars="0"/>
              <w:rPr>
                <w:szCs w:val="21"/>
              </w:rPr>
            </w:pPr>
            <w:r>
              <w:rPr>
                <w:rFonts w:hint="eastAsia"/>
                <w:szCs w:val="21"/>
              </w:rPr>
              <w:t>考核扣款￥50元/次</w:t>
            </w:r>
          </w:p>
        </w:tc>
      </w:tr>
      <w:tr w14:paraId="3BEB9D45">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3174DA8">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4CE70AD7">
            <w:pPr>
              <w:adjustRightInd w:val="0"/>
              <w:spacing w:line="360" w:lineRule="auto"/>
              <w:ind w:firstLine="0" w:firstLineChars="0"/>
              <w:rPr>
                <w:szCs w:val="21"/>
              </w:rPr>
            </w:pPr>
            <w:r>
              <w:rPr>
                <w:rFonts w:hint="eastAsia"/>
                <w:szCs w:val="21"/>
              </w:rPr>
              <w:t>15.其他服务品质达不到标准</w:t>
            </w:r>
          </w:p>
        </w:tc>
        <w:tc>
          <w:tcPr>
            <w:tcW w:w="3827" w:type="dxa"/>
            <w:tcBorders>
              <w:top w:val="single" w:color="auto" w:sz="4" w:space="0"/>
              <w:left w:val="nil"/>
              <w:bottom w:val="single" w:color="auto" w:sz="4" w:space="0"/>
              <w:right w:val="single" w:color="auto" w:sz="4" w:space="0"/>
            </w:tcBorders>
            <w:noWrap w:val="0"/>
            <w:vAlign w:val="center"/>
          </w:tcPr>
          <w:p w14:paraId="068E5EEA">
            <w:pPr>
              <w:adjustRightInd w:val="0"/>
              <w:spacing w:line="360" w:lineRule="auto"/>
              <w:ind w:firstLine="0" w:firstLineChars="0"/>
              <w:rPr>
                <w:szCs w:val="21"/>
              </w:rPr>
            </w:pPr>
            <w:r>
              <w:rPr>
                <w:rFonts w:hint="eastAsia"/>
                <w:szCs w:val="21"/>
              </w:rPr>
              <w:t>考核扣款￥100—1000元/次</w:t>
            </w:r>
          </w:p>
        </w:tc>
      </w:tr>
      <w:tr w14:paraId="6A1C93B3">
        <w:tblPrEx>
          <w:tblCellMar>
            <w:top w:w="0" w:type="dxa"/>
            <w:left w:w="108" w:type="dxa"/>
            <w:bottom w:w="0" w:type="dxa"/>
            <w:right w:w="108" w:type="dxa"/>
          </w:tblCellMar>
        </w:tblPrEx>
        <w:trPr>
          <w:trHeight w:val="503" w:hRule="atLeast"/>
        </w:trPr>
        <w:tc>
          <w:tcPr>
            <w:tcW w:w="709" w:type="dxa"/>
            <w:vMerge w:val="restart"/>
            <w:tcBorders>
              <w:top w:val="nil"/>
              <w:left w:val="single" w:color="auto" w:sz="4" w:space="0"/>
              <w:bottom w:val="single" w:color="auto" w:sz="4" w:space="0"/>
              <w:right w:val="single" w:color="auto" w:sz="4" w:space="0"/>
            </w:tcBorders>
            <w:noWrap w:val="0"/>
            <w:vAlign w:val="center"/>
          </w:tcPr>
          <w:p w14:paraId="38E2F727">
            <w:pPr>
              <w:adjustRightInd w:val="0"/>
              <w:spacing w:line="360" w:lineRule="auto"/>
              <w:ind w:firstLine="0" w:firstLineChars="0"/>
              <w:rPr>
                <w:szCs w:val="21"/>
              </w:rPr>
            </w:pPr>
            <w:r>
              <w:rPr>
                <w:rFonts w:hint="eastAsia"/>
                <w:szCs w:val="21"/>
              </w:rPr>
              <w:t>内务管理</w:t>
            </w:r>
          </w:p>
        </w:tc>
        <w:tc>
          <w:tcPr>
            <w:tcW w:w="4819" w:type="dxa"/>
            <w:tcBorders>
              <w:top w:val="nil"/>
              <w:left w:val="nil"/>
              <w:bottom w:val="single" w:color="auto" w:sz="4" w:space="0"/>
              <w:right w:val="single" w:color="auto" w:sz="4" w:space="0"/>
            </w:tcBorders>
            <w:noWrap w:val="0"/>
            <w:vAlign w:val="center"/>
          </w:tcPr>
          <w:p w14:paraId="53696242">
            <w:pPr>
              <w:adjustRightInd w:val="0"/>
              <w:spacing w:line="360" w:lineRule="auto"/>
              <w:ind w:firstLine="0" w:firstLineChars="0"/>
              <w:rPr>
                <w:szCs w:val="21"/>
              </w:rPr>
            </w:pPr>
            <w:r>
              <w:rPr>
                <w:rFonts w:hint="eastAsia"/>
                <w:szCs w:val="21"/>
              </w:rPr>
              <w:t>1.值班岗位物品摆放凌乱</w:t>
            </w:r>
          </w:p>
        </w:tc>
        <w:tc>
          <w:tcPr>
            <w:tcW w:w="3827" w:type="dxa"/>
            <w:tcBorders>
              <w:top w:val="nil"/>
              <w:left w:val="nil"/>
              <w:bottom w:val="single" w:color="auto" w:sz="4" w:space="0"/>
              <w:right w:val="single" w:color="auto" w:sz="4" w:space="0"/>
            </w:tcBorders>
            <w:noWrap w:val="0"/>
            <w:vAlign w:val="center"/>
          </w:tcPr>
          <w:p w14:paraId="0F539BE7">
            <w:pPr>
              <w:adjustRightInd w:val="0"/>
              <w:spacing w:line="360" w:lineRule="auto"/>
              <w:ind w:firstLine="0" w:firstLineChars="0"/>
              <w:rPr>
                <w:szCs w:val="21"/>
              </w:rPr>
            </w:pPr>
            <w:r>
              <w:rPr>
                <w:rFonts w:hint="eastAsia"/>
                <w:szCs w:val="21"/>
              </w:rPr>
              <w:t>考核扣款￥50元/次</w:t>
            </w:r>
          </w:p>
        </w:tc>
      </w:tr>
      <w:tr w14:paraId="35CEC548">
        <w:tblPrEx>
          <w:tblCellMar>
            <w:top w:w="0" w:type="dxa"/>
            <w:left w:w="108" w:type="dxa"/>
            <w:bottom w:w="0" w:type="dxa"/>
            <w:right w:w="108" w:type="dxa"/>
          </w:tblCellMar>
        </w:tblPrEx>
        <w:trPr>
          <w:trHeight w:val="28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0F89987">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7EF63A08">
            <w:pPr>
              <w:adjustRightInd w:val="0"/>
              <w:spacing w:line="360" w:lineRule="auto"/>
              <w:ind w:firstLine="0" w:firstLineChars="0"/>
              <w:rPr>
                <w:szCs w:val="21"/>
              </w:rPr>
            </w:pPr>
            <w:r>
              <w:rPr>
                <w:rFonts w:hint="eastAsia"/>
                <w:szCs w:val="21"/>
              </w:rPr>
              <w:t>2.宿舍管理混乱（卫生脏乱差、物品摆放混乱、设施设备破损未修复）</w:t>
            </w:r>
          </w:p>
        </w:tc>
        <w:tc>
          <w:tcPr>
            <w:tcW w:w="3827" w:type="dxa"/>
            <w:tcBorders>
              <w:top w:val="nil"/>
              <w:left w:val="nil"/>
              <w:bottom w:val="single" w:color="auto" w:sz="4" w:space="0"/>
              <w:right w:val="single" w:color="auto" w:sz="4" w:space="0"/>
            </w:tcBorders>
            <w:noWrap w:val="0"/>
            <w:vAlign w:val="center"/>
          </w:tcPr>
          <w:p w14:paraId="323C201D">
            <w:pPr>
              <w:adjustRightInd w:val="0"/>
              <w:spacing w:line="360" w:lineRule="auto"/>
              <w:ind w:firstLine="0" w:firstLineChars="0"/>
              <w:rPr>
                <w:szCs w:val="21"/>
              </w:rPr>
            </w:pPr>
            <w:r>
              <w:rPr>
                <w:rFonts w:hint="eastAsia"/>
                <w:szCs w:val="21"/>
              </w:rPr>
              <w:t>考核扣款￥100元/次</w:t>
            </w:r>
          </w:p>
        </w:tc>
      </w:tr>
      <w:tr w14:paraId="42AA68E8">
        <w:tblPrEx>
          <w:tblCellMar>
            <w:top w:w="0" w:type="dxa"/>
            <w:left w:w="108" w:type="dxa"/>
            <w:bottom w:w="0" w:type="dxa"/>
            <w:right w:w="108" w:type="dxa"/>
          </w:tblCellMar>
        </w:tblPrEx>
        <w:trPr>
          <w:trHeight w:val="28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F2D2FB7">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06C5DBB4">
            <w:pPr>
              <w:adjustRightInd w:val="0"/>
              <w:spacing w:line="360" w:lineRule="auto"/>
              <w:ind w:firstLine="0" w:firstLineChars="0"/>
              <w:rPr>
                <w:szCs w:val="21"/>
              </w:rPr>
            </w:pPr>
            <w:r>
              <w:rPr>
                <w:rFonts w:hint="eastAsia"/>
                <w:szCs w:val="21"/>
              </w:rPr>
              <w:t>3.岗位各类登记表格，未按要求进行登记及登记不规范的</w:t>
            </w:r>
          </w:p>
        </w:tc>
        <w:tc>
          <w:tcPr>
            <w:tcW w:w="3827" w:type="dxa"/>
            <w:tcBorders>
              <w:top w:val="nil"/>
              <w:left w:val="nil"/>
              <w:bottom w:val="single" w:color="auto" w:sz="4" w:space="0"/>
              <w:right w:val="single" w:color="auto" w:sz="4" w:space="0"/>
            </w:tcBorders>
            <w:noWrap w:val="0"/>
            <w:vAlign w:val="center"/>
          </w:tcPr>
          <w:p w14:paraId="1B89D6D9">
            <w:pPr>
              <w:adjustRightInd w:val="0"/>
              <w:spacing w:line="360" w:lineRule="auto"/>
              <w:ind w:firstLine="0" w:firstLineChars="0"/>
              <w:rPr>
                <w:szCs w:val="21"/>
              </w:rPr>
            </w:pPr>
            <w:r>
              <w:rPr>
                <w:rFonts w:hint="eastAsia"/>
                <w:szCs w:val="21"/>
              </w:rPr>
              <w:t>考核扣款￥50元/次</w:t>
            </w:r>
          </w:p>
        </w:tc>
      </w:tr>
      <w:tr w14:paraId="5600B2DE">
        <w:tblPrEx>
          <w:tblCellMar>
            <w:top w:w="0" w:type="dxa"/>
            <w:left w:w="108" w:type="dxa"/>
            <w:bottom w:w="0" w:type="dxa"/>
            <w:right w:w="108" w:type="dxa"/>
          </w:tblCellMar>
        </w:tblPrEx>
        <w:trPr>
          <w:trHeight w:val="48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3A873C6">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2CBEE407">
            <w:pPr>
              <w:adjustRightInd w:val="0"/>
              <w:spacing w:line="360" w:lineRule="auto"/>
              <w:ind w:firstLine="0" w:firstLineChars="0"/>
              <w:rPr>
                <w:szCs w:val="21"/>
              </w:rPr>
            </w:pPr>
            <w:r>
              <w:rPr>
                <w:rFonts w:hint="eastAsia"/>
                <w:szCs w:val="21"/>
              </w:rPr>
              <w:t>4.未按时间提交相关计划（周计划、月计划、月度总结等）</w:t>
            </w:r>
          </w:p>
        </w:tc>
        <w:tc>
          <w:tcPr>
            <w:tcW w:w="3827" w:type="dxa"/>
            <w:tcBorders>
              <w:top w:val="nil"/>
              <w:left w:val="nil"/>
              <w:bottom w:val="single" w:color="auto" w:sz="4" w:space="0"/>
              <w:right w:val="single" w:color="auto" w:sz="4" w:space="0"/>
            </w:tcBorders>
            <w:noWrap w:val="0"/>
            <w:vAlign w:val="center"/>
          </w:tcPr>
          <w:p w14:paraId="13484D4E">
            <w:pPr>
              <w:adjustRightInd w:val="0"/>
              <w:spacing w:line="360" w:lineRule="auto"/>
              <w:ind w:firstLine="0" w:firstLineChars="0"/>
              <w:rPr>
                <w:szCs w:val="21"/>
              </w:rPr>
            </w:pPr>
            <w:r>
              <w:rPr>
                <w:rFonts w:hint="eastAsia"/>
                <w:szCs w:val="21"/>
              </w:rPr>
              <w:t>考核扣款￥100元/次</w:t>
            </w:r>
          </w:p>
        </w:tc>
      </w:tr>
      <w:tr w14:paraId="1302FA8F">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5AE2BAE">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76F1FA36">
            <w:pPr>
              <w:adjustRightInd w:val="0"/>
              <w:spacing w:line="360" w:lineRule="auto"/>
              <w:ind w:firstLine="0" w:firstLineChars="0"/>
              <w:rPr>
                <w:szCs w:val="21"/>
              </w:rPr>
            </w:pPr>
            <w:r>
              <w:rPr>
                <w:rFonts w:hint="eastAsia"/>
                <w:szCs w:val="21"/>
              </w:rPr>
              <w:t>5.未经甲方同意，私自带领参观人员进入项目参观</w:t>
            </w:r>
          </w:p>
        </w:tc>
        <w:tc>
          <w:tcPr>
            <w:tcW w:w="3827" w:type="dxa"/>
            <w:tcBorders>
              <w:top w:val="nil"/>
              <w:left w:val="nil"/>
              <w:bottom w:val="single" w:color="auto" w:sz="4" w:space="0"/>
              <w:right w:val="single" w:color="auto" w:sz="4" w:space="0"/>
            </w:tcBorders>
            <w:noWrap w:val="0"/>
            <w:vAlign w:val="center"/>
          </w:tcPr>
          <w:p w14:paraId="5A78429B">
            <w:pPr>
              <w:adjustRightInd w:val="0"/>
              <w:spacing w:line="360" w:lineRule="auto"/>
              <w:ind w:firstLine="0" w:firstLineChars="0"/>
              <w:rPr>
                <w:szCs w:val="21"/>
              </w:rPr>
            </w:pPr>
            <w:r>
              <w:rPr>
                <w:rFonts w:hint="eastAsia"/>
                <w:szCs w:val="21"/>
              </w:rPr>
              <w:t>考核扣款￥500元/次</w:t>
            </w:r>
          </w:p>
        </w:tc>
      </w:tr>
      <w:tr w14:paraId="493B85D8">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A2D548D">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40FB26EA">
            <w:pPr>
              <w:adjustRightInd w:val="0"/>
              <w:spacing w:line="360" w:lineRule="auto"/>
              <w:ind w:firstLine="0" w:firstLineChars="0"/>
              <w:rPr>
                <w:szCs w:val="21"/>
              </w:rPr>
            </w:pPr>
            <w:r>
              <w:rPr>
                <w:rFonts w:hint="eastAsia"/>
                <w:szCs w:val="21"/>
              </w:rPr>
              <w:t>6.未经甲方现场秩序负责人同意，私自同意其他部门、及客户等人员到中控室查看录像和拷贝录像</w:t>
            </w:r>
          </w:p>
        </w:tc>
        <w:tc>
          <w:tcPr>
            <w:tcW w:w="3827" w:type="dxa"/>
            <w:tcBorders>
              <w:top w:val="nil"/>
              <w:left w:val="nil"/>
              <w:bottom w:val="single" w:color="auto" w:sz="4" w:space="0"/>
              <w:right w:val="single" w:color="auto" w:sz="4" w:space="0"/>
            </w:tcBorders>
            <w:noWrap w:val="0"/>
            <w:vAlign w:val="center"/>
          </w:tcPr>
          <w:p w14:paraId="75C26015">
            <w:pPr>
              <w:adjustRightInd w:val="0"/>
              <w:spacing w:line="360" w:lineRule="auto"/>
              <w:ind w:firstLine="0" w:firstLineChars="0"/>
              <w:rPr>
                <w:szCs w:val="21"/>
              </w:rPr>
            </w:pPr>
            <w:r>
              <w:rPr>
                <w:rFonts w:hint="eastAsia"/>
                <w:szCs w:val="21"/>
              </w:rPr>
              <w:t>考核扣款￥500元/次</w:t>
            </w:r>
          </w:p>
        </w:tc>
      </w:tr>
      <w:tr w14:paraId="1685D4E4">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5E201606">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65031D50">
            <w:pPr>
              <w:adjustRightInd w:val="0"/>
              <w:spacing w:line="360" w:lineRule="auto"/>
              <w:ind w:firstLine="0" w:firstLineChars="0"/>
              <w:rPr>
                <w:szCs w:val="21"/>
              </w:rPr>
            </w:pPr>
            <w:r>
              <w:rPr>
                <w:rFonts w:hint="eastAsia"/>
                <w:szCs w:val="21"/>
              </w:rPr>
              <w:t>7.上岗后应知应会知识掌握不达标</w:t>
            </w:r>
          </w:p>
        </w:tc>
        <w:tc>
          <w:tcPr>
            <w:tcW w:w="3827" w:type="dxa"/>
            <w:tcBorders>
              <w:top w:val="nil"/>
              <w:left w:val="nil"/>
              <w:bottom w:val="single" w:color="auto" w:sz="4" w:space="0"/>
              <w:right w:val="single" w:color="auto" w:sz="4" w:space="0"/>
            </w:tcBorders>
            <w:noWrap w:val="0"/>
            <w:vAlign w:val="center"/>
          </w:tcPr>
          <w:p w14:paraId="2CD19D17">
            <w:pPr>
              <w:adjustRightInd w:val="0"/>
              <w:spacing w:line="360" w:lineRule="auto"/>
              <w:ind w:firstLine="0" w:firstLineChars="0"/>
              <w:rPr>
                <w:szCs w:val="21"/>
              </w:rPr>
            </w:pPr>
            <w:r>
              <w:rPr>
                <w:rFonts w:hint="eastAsia"/>
                <w:szCs w:val="21"/>
              </w:rPr>
              <w:t>考核扣款￥50元/次</w:t>
            </w:r>
          </w:p>
        </w:tc>
      </w:tr>
      <w:tr w14:paraId="0F82A385">
        <w:tblPrEx>
          <w:tblCellMar>
            <w:top w:w="0" w:type="dxa"/>
            <w:left w:w="108" w:type="dxa"/>
            <w:bottom w:w="0" w:type="dxa"/>
            <w:right w:w="108" w:type="dxa"/>
          </w:tblCellMar>
        </w:tblPrEx>
        <w:trPr>
          <w:trHeight w:val="312"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595FCD1">
            <w:pPr>
              <w:adjustRightInd w:val="0"/>
              <w:spacing w:line="360" w:lineRule="auto"/>
              <w:ind w:firstLine="0" w:firstLineChars="0"/>
              <w:rPr>
                <w:szCs w:val="21"/>
              </w:rPr>
            </w:pPr>
          </w:p>
        </w:tc>
        <w:tc>
          <w:tcPr>
            <w:tcW w:w="4819" w:type="dxa"/>
            <w:tcBorders>
              <w:top w:val="nil"/>
              <w:left w:val="nil"/>
              <w:bottom w:val="single" w:color="auto" w:sz="4" w:space="0"/>
              <w:right w:val="single" w:color="auto" w:sz="4" w:space="0"/>
            </w:tcBorders>
            <w:noWrap w:val="0"/>
            <w:vAlign w:val="center"/>
          </w:tcPr>
          <w:p w14:paraId="303109F4">
            <w:pPr>
              <w:adjustRightInd w:val="0"/>
              <w:spacing w:line="360" w:lineRule="auto"/>
              <w:ind w:firstLine="0" w:firstLineChars="0"/>
              <w:rPr>
                <w:szCs w:val="21"/>
              </w:rPr>
            </w:pPr>
            <w:r>
              <w:rPr>
                <w:rFonts w:hint="eastAsia"/>
                <w:szCs w:val="21"/>
              </w:rPr>
              <w:t>8.值班期间，员工仪容着装不达标（含：面容不洁，头发、指甲、胡须长，身有异味，着便装、混搭，衣物不洁、破损、缺失衣扣，装备佩戴不齐全等）。</w:t>
            </w:r>
          </w:p>
        </w:tc>
        <w:tc>
          <w:tcPr>
            <w:tcW w:w="3827" w:type="dxa"/>
            <w:tcBorders>
              <w:top w:val="nil"/>
              <w:left w:val="nil"/>
              <w:bottom w:val="single" w:color="auto" w:sz="4" w:space="0"/>
              <w:right w:val="single" w:color="auto" w:sz="4" w:space="0"/>
            </w:tcBorders>
            <w:noWrap w:val="0"/>
            <w:vAlign w:val="center"/>
          </w:tcPr>
          <w:p w14:paraId="7B058624">
            <w:pPr>
              <w:adjustRightInd w:val="0"/>
              <w:spacing w:line="360" w:lineRule="auto"/>
              <w:ind w:firstLine="0" w:firstLineChars="0"/>
              <w:rPr>
                <w:szCs w:val="21"/>
              </w:rPr>
            </w:pPr>
            <w:r>
              <w:rPr>
                <w:rFonts w:hint="eastAsia"/>
                <w:szCs w:val="21"/>
              </w:rPr>
              <w:t>考核扣款￥50元/人/次</w:t>
            </w:r>
          </w:p>
        </w:tc>
      </w:tr>
      <w:tr w14:paraId="45D1500B">
        <w:tblPrEx>
          <w:tblCellMar>
            <w:top w:w="0" w:type="dxa"/>
            <w:left w:w="108" w:type="dxa"/>
            <w:bottom w:w="0" w:type="dxa"/>
            <w:right w:w="108" w:type="dxa"/>
          </w:tblCellMar>
        </w:tblPrEx>
        <w:trPr>
          <w:trHeight w:val="1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0FB311C">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75DAC8CC">
            <w:pPr>
              <w:adjustRightInd w:val="0"/>
              <w:spacing w:line="360" w:lineRule="auto"/>
              <w:ind w:firstLine="0" w:firstLineChars="0"/>
              <w:rPr>
                <w:szCs w:val="21"/>
              </w:rPr>
            </w:pPr>
            <w:r>
              <w:rPr>
                <w:rFonts w:hint="eastAsia"/>
                <w:szCs w:val="21"/>
              </w:rPr>
              <w:t>9.当班时伸懒腰、手插衣裤袋、掏耳、挖鼻、持对讲机天线摇晃等</w:t>
            </w:r>
          </w:p>
        </w:tc>
        <w:tc>
          <w:tcPr>
            <w:tcW w:w="3827" w:type="dxa"/>
            <w:tcBorders>
              <w:top w:val="single" w:color="auto" w:sz="4" w:space="0"/>
              <w:left w:val="nil"/>
              <w:bottom w:val="single" w:color="auto" w:sz="4" w:space="0"/>
              <w:right w:val="single" w:color="auto" w:sz="4" w:space="0"/>
            </w:tcBorders>
            <w:noWrap w:val="0"/>
            <w:vAlign w:val="center"/>
          </w:tcPr>
          <w:p w14:paraId="10CEB506">
            <w:pPr>
              <w:adjustRightInd w:val="0"/>
              <w:spacing w:line="360" w:lineRule="auto"/>
              <w:ind w:firstLine="0" w:firstLineChars="0"/>
              <w:rPr>
                <w:szCs w:val="21"/>
              </w:rPr>
            </w:pPr>
            <w:r>
              <w:rPr>
                <w:rFonts w:hint="eastAsia"/>
                <w:szCs w:val="21"/>
              </w:rPr>
              <w:t>考核扣款￥20元/次</w:t>
            </w:r>
          </w:p>
        </w:tc>
      </w:tr>
      <w:tr w14:paraId="3A483BD5">
        <w:tblPrEx>
          <w:tblCellMar>
            <w:top w:w="0" w:type="dxa"/>
            <w:left w:w="108" w:type="dxa"/>
            <w:bottom w:w="0" w:type="dxa"/>
            <w:right w:w="108" w:type="dxa"/>
          </w:tblCellMar>
        </w:tblPrEx>
        <w:trPr>
          <w:trHeight w:val="149"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21848CED">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45C0DADD">
            <w:pPr>
              <w:adjustRightInd w:val="0"/>
              <w:spacing w:line="360" w:lineRule="auto"/>
              <w:ind w:firstLine="0" w:firstLineChars="0"/>
              <w:rPr>
                <w:szCs w:val="21"/>
              </w:rPr>
            </w:pPr>
            <w:r>
              <w:rPr>
                <w:rFonts w:hint="eastAsia"/>
                <w:szCs w:val="21"/>
              </w:rPr>
              <w:t>10.当班时面容不洁、头发不整齐干净、身有异味</w:t>
            </w:r>
          </w:p>
        </w:tc>
        <w:tc>
          <w:tcPr>
            <w:tcW w:w="3827" w:type="dxa"/>
            <w:tcBorders>
              <w:top w:val="single" w:color="auto" w:sz="4" w:space="0"/>
              <w:left w:val="nil"/>
              <w:bottom w:val="single" w:color="auto" w:sz="4" w:space="0"/>
              <w:right w:val="single" w:color="auto" w:sz="4" w:space="0"/>
            </w:tcBorders>
            <w:noWrap w:val="0"/>
            <w:vAlign w:val="center"/>
          </w:tcPr>
          <w:p w14:paraId="5F024E02">
            <w:pPr>
              <w:adjustRightInd w:val="0"/>
              <w:spacing w:line="360" w:lineRule="auto"/>
              <w:ind w:firstLine="0" w:firstLineChars="0"/>
              <w:rPr>
                <w:szCs w:val="21"/>
              </w:rPr>
            </w:pPr>
            <w:r>
              <w:rPr>
                <w:rFonts w:hint="eastAsia"/>
                <w:szCs w:val="21"/>
              </w:rPr>
              <w:t>考核扣款￥50元/次</w:t>
            </w:r>
          </w:p>
        </w:tc>
      </w:tr>
      <w:tr w14:paraId="40E70DAE">
        <w:tblPrEx>
          <w:tblCellMar>
            <w:top w:w="0" w:type="dxa"/>
            <w:left w:w="108" w:type="dxa"/>
            <w:bottom w:w="0" w:type="dxa"/>
            <w:right w:w="108" w:type="dxa"/>
          </w:tblCellMar>
        </w:tblPrEx>
        <w:trPr>
          <w:trHeight w:val="149"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0A085192">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3FDE0DB0">
            <w:pPr>
              <w:adjustRightInd w:val="0"/>
              <w:spacing w:line="360" w:lineRule="auto"/>
              <w:ind w:firstLine="0" w:firstLineChars="0"/>
              <w:rPr>
                <w:szCs w:val="21"/>
              </w:rPr>
            </w:pPr>
            <w:r>
              <w:rPr>
                <w:rFonts w:hint="eastAsia"/>
                <w:szCs w:val="21"/>
              </w:rPr>
              <w:t>11.上班前饮酒，上班过程中有酒气的</w:t>
            </w:r>
          </w:p>
        </w:tc>
        <w:tc>
          <w:tcPr>
            <w:tcW w:w="3827" w:type="dxa"/>
            <w:tcBorders>
              <w:top w:val="single" w:color="auto" w:sz="4" w:space="0"/>
              <w:left w:val="nil"/>
              <w:bottom w:val="single" w:color="auto" w:sz="4" w:space="0"/>
              <w:right w:val="single" w:color="auto" w:sz="4" w:space="0"/>
            </w:tcBorders>
            <w:noWrap w:val="0"/>
            <w:vAlign w:val="center"/>
          </w:tcPr>
          <w:p w14:paraId="4DB4B7B5">
            <w:pPr>
              <w:adjustRightInd w:val="0"/>
              <w:spacing w:line="360" w:lineRule="auto"/>
              <w:ind w:firstLine="0" w:firstLineChars="0"/>
              <w:rPr>
                <w:szCs w:val="21"/>
              </w:rPr>
            </w:pPr>
            <w:r>
              <w:rPr>
                <w:rFonts w:hint="eastAsia"/>
                <w:szCs w:val="21"/>
              </w:rPr>
              <w:t>考核扣款￥100元/次</w:t>
            </w:r>
          </w:p>
        </w:tc>
      </w:tr>
      <w:tr w14:paraId="506B3286">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EB3BE7C">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3E2D6FAC">
            <w:pPr>
              <w:adjustRightInd w:val="0"/>
              <w:spacing w:line="360" w:lineRule="auto"/>
              <w:ind w:firstLine="0" w:firstLineChars="0"/>
              <w:rPr>
                <w:szCs w:val="21"/>
              </w:rPr>
            </w:pPr>
            <w:r>
              <w:rPr>
                <w:rFonts w:hint="eastAsia"/>
                <w:szCs w:val="21"/>
              </w:rPr>
              <w:t>12.非工作时间在公司辖区工作场所、生活区域有赌博行为的</w:t>
            </w:r>
          </w:p>
        </w:tc>
        <w:tc>
          <w:tcPr>
            <w:tcW w:w="3827" w:type="dxa"/>
            <w:tcBorders>
              <w:top w:val="single" w:color="auto" w:sz="4" w:space="0"/>
              <w:left w:val="nil"/>
              <w:bottom w:val="single" w:color="auto" w:sz="4" w:space="0"/>
              <w:right w:val="single" w:color="auto" w:sz="4" w:space="0"/>
            </w:tcBorders>
            <w:noWrap w:val="0"/>
            <w:vAlign w:val="center"/>
          </w:tcPr>
          <w:p w14:paraId="0EC065B4">
            <w:pPr>
              <w:adjustRightInd w:val="0"/>
              <w:spacing w:line="360" w:lineRule="auto"/>
              <w:ind w:firstLine="0" w:firstLineChars="0"/>
              <w:rPr>
                <w:szCs w:val="21"/>
              </w:rPr>
            </w:pPr>
            <w:r>
              <w:rPr>
                <w:rFonts w:hint="eastAsia"/>
                <w:szCs w:val="21"/>
              </w:rPr>
              <w:t>考核扣款￥200元/次</w:t>
            </w:r>
          </w:p>
        </w:tc>
      </w:tr>
      <w:tr w14:paraId="41968EEC">
        <w:tblPrEx>
          <w:tblCellMar>
            <w:top w:w="0" w:type="dxa"/>
            <w:left w:w="108" w:type="dxa"/>
            <w:bottom w:w="0" w:type="dxa"/>
            <w:right w:w="108" w:type="dxa"/>
          </w:tblCellMar>
        </w:tblPrEx>
        <w:trPr>
          <w:trHeight w:val="135"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4DBE7AE5">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2EEB4361">
            <w:pPr>
              <w:adjustRightInd w:val="0"/>
              <w:spacing w:line="360" w:lineRule="auto"/>
              <w:ind w:firstLine="0" w:firstLineChars="0"/>
              <w:rPr>
                <w:szCs w:val="21"/>
              </w:rPr>
            </w:pPr>
            <w:r>
              <w:rPr>
                <w:rFonts w:hint="eastAsia"/>
                <w:szCs w:val="21"/>
              </w:rPr>
              <w:t>13.煽动他人闹事或在公司内挑拨、闹事造成不良影响的</w:t>
            </w:r>
          </w:p>
        </w:tc>
        <w:tc>
          <w:tcPr>
            <w:tcW w:w="3827" w:type="dxa"/>
            <w:tcBorders>
              <w:top w:val="single" w:color="auto" w:sz="4" w:space="0"/>
              <w:left w:val="nil"/>
              <w:bottom w:val="single" w:color="auto" w:sz="4" w:space="0"/>
              <w:right w:val="single" w:color="auto" w:sz="4" w:space="0"/>
            </w:tcBorders>
            <w:noWrap w:val="0"/>
            <w:vAlign w:val="center"/>
          </w:tcPr>
          <w:p w14:paraId="007C000D">
            <w:pPr>
              <w:adjustRightInd w:val="0"/>
              <w:spacing w:line="360" w:lineRule="auto"/>
              <w:ind w:firstLine="0" w:firstLineChars="0"/>
              <w:rPr>
                <w:szCs w:val="21"/>
              </w:rPr>
            </w:pPr>
            <w:r>
              <w:rPr>
                <w:rFonts w:hint="eastAsia"/>
                <w:szCs w:val="21"/>
              </w:rPr>
              <w:t>考核扣款￥500元/次</w:t>
            </w:r>
          </w:p>
        </w:tc>
      </w:tr>
      <w:tr w14:paraId="4BA53DE9">
        <w:tblPrEx>
          <w:tblCellMar>
            <w:top w:w="0" w:type="dxa"/>
            <w:left w:w="108" w:type="dxa"/>
            <w:bottom w:w="0" w:type="dxa"/>
            <w:right w:w="108" w:type="dxa"/>
          </w:tblCellMar>
        </w:tblPrEx>
        <w:trPr>
          <w:trHeight w:val="163"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1F00B7FF">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25232967">
            <w:pPr>
              <w:adjustRightInd w:val="0"/>
              <w:spacing w:line="360" w:lineRule="auto"/>
              <w:ind w:firstLine="0" w:firstLineChars="0"/>
              <w:rPr>
                <w:szCs w:val="21"/>
              </w:rPr>
            </w:pPr>
            <w:r>
              <w:rPr>
                <w:rFonts w:hint="eastAsia"/>
                <w:szCs w:val="21"/>
              </w:rPr>
              <w:t>14.不服从管理，顶撞上级（含甲方管理人员）的</w:t>
            </w:r>
          </w:p>
        </w:tc>
        <w:tc>
          <w:tcPr>
            <w:tcW w:w="3827" w:type="dxa"/>
            <w:tcBorders>
              <w:top w:val="single" w:color="auto" w:sz="4" w:space="0"/>
              <w:left w:val="nil"/>
              <w:bottom w:val="single" w:color="auto" w:sz="4" w:space="0"/>
              <w:right w:val="single" w:color="auto" w:sz="4" w:space="0"/>
            </w:tcBorders>
            <w:noWrap w:val="0"/>
            <w:vAlign w:val="center"/>
          </w:tcPr>
          <w:p w14:paraId="2D0FFC70">
            <w:pPr>
              <w:adjustRightInd w:val="0"/>
              <w:spacing w:line="360" w:lineRule="auto"/>
              <w:ind w:firstLine="0" w:firstLineChars="0"/>
              <w:rPr>
                <w:szCs w:val="21"/>
              </w:rPr>
            </w:pPr>
            <w:r>
              <w:rPr>
                <w:rFonts w:hint="eastAsia"/>
                <w:szCs w:val="21"/>
              </w:rPr>
              <w:t>考核扣款￥50—500元/次</w:t>
            </w:r>
          </w:p>
        </w:tc>
      </w:tr>
      <w:tr w14:paraId="5CA20483">
        <w:tblPrEx>
          <w:tblCellMar>
            <w:top w:w="0" w:type="dxa"/>
            <w:left w:w="108" w:type="dxa"/>
            <w:bottom w:w="0" w:type="dxa"/>
            <w:right w:w="108" w:type="dxa"/>
          </w:tblCellMar>
        </w:tblPrEx>
        <w:trPr>
          <w:trHeight w:val="190"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118A2B1">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2F129F20">
            <w:pPr>
              <w:adjustRightInd w:val="0"/>
              <w:spacing w:line="360" w:lineRule="auto"/>
              <w:ind w:firstLine="0" w:firstLineChars="0"/>
              <w:rPr>
                <w:szCs w:val="21"/>
              </w:rPr>
            </w:pPr>
            <w:r>
              <w:rPr>
                <w:rFonts w:hint="eastAsia"/>
                <w:szCs w:val="21"/>
              </w:rPr>
              <w:t>15.未按要求完成甲方规定的动作或任务的</w:t>
            </w:r>
          </w:p>
        </w:tc>
        <w:tc>
          <w:tcPr>
            <w:tcW w:w="3827" w:type="dxa"/>
            <w:tcBorders>
              <w:top w:val="single" w:color="auto" w:sz="4" w:space="0"/>
              <w:left w:val="nil"/>
              <w:bottom w:val="single" w:color="auto" w:sz="4" w:space="0"/>
              <w:right w:val="single" w:color="auto" w:sz="4" w:space="0"/>
            </w:tcBorders>
            <w:noWrap w:val="0"/>
            <w:vAlign w:val="center"/>
          </w:tcPr>
          <w:p w14:paraId="4C09016E">
            <w:pPr>
              <w:adjustRightInd w:val="0"/>
              <w:spacing w:line="360" w:lineRule="auto"/>
              <w:ind w:firstLine="0" w:firstLineChars="0"/>
              <w:rPr>
                <w:szCs w:val="21"/>
              </w:rPr>
            </w:pPr>
            <w:r>
              <w:rPr>
                <w:rFonts w:hint="eastAsia"/>
                <w:szCs w:val="21"/>
              </w:rPr>
              <w:t>考核扣款￥50—500元/次</w:t>
            </w:r>
          </w:p>
        </w:tc>
      </w:tr>
      <w:tr w14:paraId="2D185178">
        <w:tblPrEx>
          <w:tblCellMar>
            <w:top w:w="0" w:type="dxa"/>
            <w:left w:w="108" w:type="dxa"/>
            <w:bottom w:w="0" w:type="dxa"/>
            <w:right w:w="108" w:type="dxa"/>
          </w:tblCellMar>
        </w:tblPrEx>
        <w:trPr>
          <w:trHeight w:val="156"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3946CA1F">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492ABAEB">
            <w:pPr>
              <w:adjustRightInd w:val="0"/>
              <w:spacing w:line="360" w:lineRule="auto"/>
              <w:ind w:firstLine="0" w:firstLineChars="0"/>
              <w:rPr>
                <w:szCs w:val="21"/>
              </w:rPr>
            </w:pPr>
            <w:r>
              <w:rPr>
                <w:rFonts w:hint="eastAsia"/>
                <w:szCs w:val="21"/>
              </w:rPr>
              <w:t>16.每月至少1次指派高层管理人员（区域经理级以上）到甲方现场检查承包范围内的服务情况，并须向甲方提供书面检查意见及处理结果，征询甲方意见，如乙方高层管理人员未能按月到现场，甲方将进行扣款。</w:t>
            </w:r>
          </w:p>
        </w:tc>
        <w:tc>
          <w:tcPr>
            <w:tcW w:w="3827" w:type="dxa"/>
            <w:tcBorders>
              <w:top w:val="single" w:color="auto" w:sz="4" w:space="0"/>
              <w:left w:val="nil"/>
              <w:bottom w:val="single" w:color="auto" w:sz="4" w:space="0"/>
              <w:right w:val="single" w:color="auto" w:sz="4" w:space="0"/>
            </w:tcBorders>
            <w:noWrap w:val="0"/>
            <w:vAlign w:val="center"/>
          </w:tcPr>
          <w:p w14:paraId="3AEFAA6A">
            <w:pPr>
              <w:adjustRightInd w:val="0"/>
              <w:spacing w:line="360" w:lineRule="auto"/>
              <w:ind w:firstLine="0" w:firstLineChars="0"/>
              <w:rPr>
                <w:szCs w:val="21"/>
              </w:rPr>
            </w:pPr>
            <w:r>
              <w:rPr>
                <w:rFonts w:hint="eastAsia"/>
                <w:szCs w:val="21"/>
              </w:rPr>
              <w:t>考核扣款￥100-300元/次/月</w:t>
            </w:r>
          </w:p>
        </w:tc>
      </w:tr>
      <w:tr w14:paraId="0478B15A">
        <w:tblPrEx>
          <w:tblCellMar>
            <w:top w:w="0" w:type="dxa"/>
            <w:left w:w="108" w:type="dxa"/>
            <w:bottom w:w="0" w:type="dxa"/>
            <w:right w:w="108" w:type="dxa"/>
          </w:tblCellMar>
        </w:tblPrEx>
        <w:trPr>
          <w:trHeight w:val="384" w:hRule="atLeast"/>
        </w:trPr>
        <w:tc>
          <w:tcPr>
            <w:tcW w:w="709" w:type="dxa"/>
            <w:vMerge w:val="continue"/>
            <w:tcBorders>
              <w:top w:val="nil"/>
              <w:left w:val="single" w:color="auto" w:sz="4" w:space="0"/>
              <w:bottom w:val="single" w:color="auto" w:sz="4" w:space="0"/>
              <w:right w:val="single" w:color="auto" w:sz="4" w:space="0"/>
            </w:tcBorders>
            <w:noWrap w:val="0"/>
            <w:vAlign w:val="center"/>
          </w:tcPr>
          <w:p w14:paraId="76CF5577">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770BDD0C">
            <w:pPr>
              <w:adjustRightInd w:val="0"/>
              <w:spacing w:line="360" w:lineRule="auto"/>
              <w:ind w:firstLine="0" w:firstLineChars="0"/>
              <w:rPr>
                <w:szCs w:val="21"/>
              </w:rPr>
            </w:pPr>
            <w:r>
              <w:rPr>
                <w:rFonts w:hint="eastAsia"/>
                <w:szCs w:val="21"/>
              </w:rPr>
              <w:t>17.其他员工行为不当或内务管理达不到标准</w:t>
            </w:r>
          </w:p>
        </w:tc>
        <w:tc>
          <w:tcPr>
            <w:tcW w:w="3827" w:type="dxa"/>
            <w:tcBorders>
              <w:top w:val="single" w:color="auto" w:sz="4" w:space="0"/>
              <w:left w:val="nil"/>
              <w:bottom w:val="single" w:color="auto" w:sz="4" w:space="0"/>
              <w:right w:val="single" w:color="auto" w:sz="4" w:space="0"/>
            </w:tcBorders>
            <w:noWrap w:val="0"/>
            <w:vAlign w:val="center"/>
          </w:tcPr>
          <w:p w14:paraId="572FB04C">
            <w:pPr>
              <w:adjustRightInd w:val="0"/>
              <w:spacing w:line="360" w:lineRule="auto"/>
              <w:ind w:firstLine="0" w:firstLineChars="0"/>
              <w:rPr>
                <w:szCs w:val="21"/>
              </w:rPr>
            </w:pPr>
            <w:r>
              <w:rPr>
                <w:rFonts w:hint="eastAsia"/>
                <w:szCs w:val="21"/>
              </w:rPr>
              <w:t>考核扣款￥50—500元/次</w:t>
            </w:r>
          </w:p>
        </w:tc>
      </w:tr>
      <w:tr w14:paraId="3195AEDE">
        <w:tblPrEx>
          <w:tblCellMar>
            <w:top w:w="0" w:type="dxa"/>
            <w:left w:w="108" w:type="dxa"/>
            <w:bottom w:w="0" w:type="dxa"/>
            <w:right w:w="108" w:type="dxa"/>
          </w:tblCellMar>
        </w:tblPrEx>
        <w:trPr>
          <w:trHeight w:val="498" w:hRule="atLeast"/>
        </w:trPr>
        <w:tc>
          <w:tcPr>
            <w:tcW w:w="709" w:type="dxa"/>
            <w:vMerge w:val="restart"/>
            <w:tcBorders>
              <w:top w:val="nil"/>
              <w:left w:val="single" w:color="auto" w:sz="4" w:space="0"/>
              <w:bottom w:val="nil"/>
              <w:right w:val="single" w:color="auto" w:sz="4" w:space="0"/>
            </w:tcBorders>
            <w:noWrap w:val="0"/>
            <w:vAlign w:val="center"/>
          </w:tcPr>
          <w:p w14:paraId="6248B1EB">
            <w:pPr>
              <w:adjustRightInd w:val="0"/>
              <w:spacing w:line="360" w:lineRule="auto"/>
              <w:ind w:firstLine="0" w:firstLineChars="0"/>
              <w:rPr>
                <w:szCs w:val="21"/>
              </w:rPr>
            </w:pPr>
            <w:r>
              <w:rPr>
                <w:rFonts w:hint="eastAsia"/>
                <w:szCs w:val="21"/>
              </w:rPr>
              <w:t>考勤管理</w:t>
            </w:r>
          </w:p>
        </w:tc>
        <w:tc>
          <w:tcPr>
            <w:tcW w:w="4819" w:type="dxa"/>
            <w:tcBorders>
              <w:top w:val="nil"/>
              <w:left w:val="nil"/>
              <w:bottom w:val="single" w:color="auto" w:sz="4" w:space="0"/>
              <w:right w:val="single" w:color="auto" w:sz="4" w:space="0"/>
            </w:tcBorders>
            <w:noWrap w:val="0"/>
            <w:vAlign w:val="center"/>
          </w:tcPr>
          <w:p w14:paraId="7FBBA135">
            <w:pPr>
              <w:adjustRightInd w:val="0"/>
              <w:spacing w:line="360" w:lineRule="auto"/>
              <w:ind w:firstLine="0" w:firstLineChars="0"/>
              <w:rPr>
                <w:szCs w:val="21"/>
              </w:rPr>
            </w:pPr>
            <w:r>
              <w:rPr>
                <w:rFonts w:hint="eastAsia"/>
                <w:szCs w:val="21"/>
              </w:rPr>
              <w:t>1.代他人打卡的</w:t>
            </w:r>
          </w:p>
        </w:tc>
        <w:tc>
          <w:tcPr>
            <w:tcW w:w="3827" w:type="dxa"/>
            <w:tcBorders>
              <w:top w:val="nil"/>
              <w:left w:val="nil"/>
              <w:bottom w:val="single" w:color="auto" w:sz="4" w:space="0"/>
              <w:right w:val="single" w:color="auto" w:sz="4" w:space="0"/>
            </w:tcBorders>
            <w:noWrap w:val="0"/>
            <w:vAlign w:val="center"/>
          </w:tcPr>
          <w:p w14:paraId="6BD7F118">
            <w:pPr>
              <w:adjustRightInd w:val="0"/>
              <w:spacing w:line="360" w:lineRule="auto"/>
              <w:ind w:firstLine="0" w:firstLineChars="0"/>
              <w:rPr>
                <w:szCs w:val="21"/>
              </w:rPr>
            </w:pPr>
            <w:r>
              <w:rPr>
                <w:rFonts w:hint="eastAsia"/>
                <w:szCs w:val="21"/>
              </w:rPr>
              <w:t>考核扣款￥500元/次</w:t>
            </w:r>
          </w:p>
        </w:tc>
      </w:tr>
      <w:tr w14:paraId="035BC44D">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nil"/>
              <w:right w:val="single" w:color="auto" w:sz="4" w:space="0"/>
            </w:tcBorders>
            <w:noWrap w:val="0"/>
            <w:vAlign w:val="center"/>
          </w:tcPr>
          <w:p w14:paraId="1AA62AF6">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05B69D14">
            <w:pPr>
              <w:adjustRightInd w:val="0"/>
              <w:spacing w:line="360" w:lineRule="auto"/>
              <w:ind w:firstLine="0" w:firstLineChars="0"/>
              <w:rPr>
                <w:szCs w:val="21"/>
              </w:rPr>
            </w:pPr>
            <w:r>
              <w:rPr>
                <w:rFonts w:hint="eastAsia"/>
                <w:szCs w:val="21"/>
              </w:rPr>
              <w:t>2.迟到1个月累计超过4次以上</w:t>
            </w:r>
          </w:p>
        </w:tc>
        <w:tc>
          <w:tcPr>
            <w:tcW w:w="3827" w:type="dxa"/>
            <w:tcBorders>
              <w:top w:val="single" w:color="auto" w:sz="4" w:space="0"/>
              <w:left w:val="nil"/>
              <w:bottom w:val="single" w:color="auto" w:sz="4" w:space="0"/>
              <w:right w:val="single" w:color="auto" w:sz="4" w:space="0"/>
            </w:tcBorders>
            <w:noWrap w:val="0"/>
            <w:vAlign w:val="center"/>
          </w:tcPr>
          <w:p w14:paraId="6745652F">
            <w:pPr>
              <w:adjustRightInd w:val="0"/>
              <w:spacing w:line="360" w:lineRule="auto"/>
              <w:ind w:firstLine="0" w:firstLineChars="0"/>
              <w:rPr>
                <w:szCs w:val="21"/>
              </w:rPr>
            </w:pPr>
            <w:r>
              <w:rPr>
                <w:rFonts w:hint="eastAsia"/>
                <w:szCs w:val="21"/>
              </w:rPr>
              <w:t>考核扣款￥50—500元/次</w:t>
            </w:r>
          </w:p>
        </w:tc>
      </w:tr>
      <w:tr w14:paraId="07CBA56F">
        <w:tblPrEx>
          <w:tblCellMar>
            <w:top w:w="0" w:type="dxa"/>
            <w:left w:w="108" w:type="dxa"/>
            <w:bottom w:w="0" w:type="dxa"/>
            <w:right w:w="108" w:type="dxa"/>
          </w:tblCellMar>
        </w:tblPrEx>
        <w:trPr>
          <w:trHeight w:val="498" w:hRule="atLeast"/>
        </w:trPr>
        <w:tc>
          <w:tcPr>
            <w:tcW w:w="709" w:type="dxa"/>
            <w:vMerge w:val="continue"/>
            <w:tcBorders>
              <w:top w:val="nil"/>
              <w:left w:val="single" w:color="auto" w:sz="4" w:space="0"/>
              <w:bottom w:val="nil"/>
              <w:right w:val="single" w:color="auto" w:sz="4" w:space="0"/>
            </w:tcBorders>
            <w:noWrap w:val="0"/>
            <w:vAlign w:val="center"/>
          </w:tcPr>
          <w:p w14:paraId="7640392A">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490D51E0">
            <w:pPr>
              <w:adjustRightInd w:val="0"/>
              <w:spacing w:line="360" w:lineRule="auto"/>
              <w:ind w:firstLine="0" w:firstLineChars="0"/>
              <w:rPr>
                <w:szCs w:val="21"/>
              </w:rPr>
            </w:pPr>
            <w:r>
              <w:rPr>
                <w:rFonts w:hint="eastAsia"/>
                <w:szCs w:val="21"/>
              </w:rPr>
              <w:t>3.考勤弄虚作假</w:t>
            </w:r>
          </w:p>
        </w:tc>
        <w:tc>
          <w:tcPr>
            <w:tcW w:w="3827" w:type="dxa"/>
            <w:tcBorders>
              <w:top w:val="single" w:color="auto" w:sz="4" w:space="0"/>
              <w:left w:val="nil"/>
              <w:bottom w:val="single" w:color="auto" w:sz="4" w:space="0"/>
              <w:right w:val="single" w:color="auto" w:sz="4" w:space="0"/>
            </w:tcBorders>
            <w:noWrap w:val="0"/>
            <w:vAlign w:val="center"/>
          </w:tcPr>
          <w:p w14:paraId="09B1E866">
            <w:pPr>
              <w:adjustRightInd w:val="0"/>
              <w:spacing w:line="360" w:lineRule="auto"/>
              <w:ind w:firstLine="0" w:firstLineChars="0"/>
              <w:rPr>
                <w:szCs w:val="21"/>
              </w:rPr>
            </w:pPr>
            <w:r>
              <w:rPr>
                <w:rFonts w:hint="eastAsia"/>
                <w:szCs w:val="21"/>
              </w:rPr>
              <w:t>考核扣款￥500元/次</w:t>
            </w:r>
          </w:p>
        </w:tc>
      </w:tr>
      <w:tr w14:paraId="5639E096">
        <w:tblPrEx>
          <w:tblCellMar>
            <w:top w:w="0" w:type="dxa"/>
            <w:left w:w="108" w:type="dxa"/>
            <w:bottom w:w="0" w:type="dxa"/>
            <w:right w:w="108" w:type="dxa"/>
          </w:tblCellMar>
        </w:tblPrEx>
        <w:trPr>
          <w:trHeight w:val="203" w:hRule="atLeast"/>
        </w:trPr>
        <w:tc>
          <w:tcPr>
            <w:tcW w:w="709" w:type="dxa"/>
            <w:vMerge w:val="continue"/>
            <w:tcBorders>
              <w:top w:val="nil"/>
              <w:left w:val="single" w:color="auto" w:sz="4" w:space="0"/>
              <w:bottom w:val="nil"/>
              <w:right w:val="single" w:color="auto" w:sz="4" w:space="0"/>
            </w:tcBorders>
            <w:noWrap w:val="0"/>
            <w:vAlign w:val="center"/>
          </w:tcPr>
          <w:p w14:paraId="30F7D1C0">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711757E1">
            <w:pPr>
              <w:adjustRightInd w:val="0"/>
              <w:spacing w:line="360" w:lineRule="auto"/>
              <w:ind w:firstLine="0" w:firstLineChars="0"/>
              <w:rPr>
                <w:szCs w:val="21"/>
              </w:rPr>
            </w:pPr>
            <w:r>
              <w:rPr>
                <w:rFonts w:hint="eastAsia"/>
                <w:szCs w:val="21"/>
              </w:rPr>
              <w:t>4.其他考勤管理不达标</w:t>
            </w:r>
          </w:p>
        </w:tc>
        <w:tc>
          <w:tcPr>
            <w:tcW w:w="3827" w:type="dxa"/>
            <w:tcBorders>
              <w:top w:val="single" w:color="auto" w:sz="4" w:space="0"/>
              <w:left w:val="nil"/>
              <w:bottom w:val="single" w:color="auto" w:sz="4" w:space="0"/>
              <w:right w:val="single" w:color="auto" w:sz="4" w:space="0"/>
            </w:tcBorders>
            <w:noWrap w:val="0"/>
            <w:vAlign w:val="center"/>
          </w:tcPr>
          <w:p w14:paraId="35194939">
            <w:pPr>
              <w:adjustRightInd w:val="0"/>
              <w:spacing w:line="360" w:lineRule="auto"/>
              <w:ind w:firstLine="0" w:firstLineChars="0"/>
              <w:rPr>
                <w:szCs w:val="21"/>
              </w:rPr>
            </w:pPr>
            <w:r>
              <w:rPr>
                <w:rFonts w:hint="eastAsia"/>
                <w:szCs w:val="21"/>
              </w:rPr>
              <w:t>考核扣款￥100—1000元/次</w:t>
            </w:r>
          </w:p>
        </w:tc>
      </w:tr>
      <w:tr w14:paraId="6D1E049D">
        <w:tblPrEx>
          <w:tblCellMar>
            <w:top w:w="0" w:type="dxa"/>
            <w:left w:w="108" w:type="dxa"/>
            <w:bottom w:w="0" w:type="dxa"/>
            <w:right w:w="108" w:type="dxa"/>
          </w:tblCellMar>
        </w:tblPrEx>
        <w:trPr>
          <w:trHeight w:val="2226" w:hRule="atLeast"/>
        </w:trPr>
        <w:tc>
          <w:tcPr>
            <w:tcW w:w="709" w:type="dxa"/>
            <w:vMerge w:val="restart"/>
            <w:tcBorders>
              <w:top w:val="single" w:color="auto" w:sz="4" w:space="0"/>
              <w:left w:val="single" w:color="auto" w:sz="4" w:space="0"/>
              <w:right w:val="single" w:color="auto" w:sz="4" w:space="0"/>
            </w:tcBorders>
            <w:noWrap w:val="0"/>
            <w:vAlign w:val="center"/>
          </w:tcPr>
          <w:p w14:paraId="4A0C1A43">
            <w:pPr>
              <w:adjustRightInd w:val="0"/>
              <w:spacing w:line="360" w:lineRule="auto"/>
              <w:ind w:firstLine="0" w:firstLineChars="0"/>
              <w:rPr>
                <w:szCs w:val="21"/>
              </w:rPr>
            </w:pPr>
          </w:p>
          <w:p w14:paraId="5D4B39FE">
            <w:pPr>
              <w:adjustRightInd w:val="0"/>
              <w:spacing w:line="360" w:lineRule="auto"/>
              <w:ind w:firstLine="0" w:firstLineChars="0"/>
              <w:rPr>
                <w:szCs w:val="21"/>
              </w:rPr>
            </w:pPr>
          </w:p>
          <w:p w14:paraId="50F31421">
            <w:pPr>
              <w:adjustRightInd w:val="0"/>
              <w:spacing w:line="360" w:lineRule="auto"/>
              <w:ind w:firstLine="0" w:firstLineChars="0"/>
              <w:rPr>
                <w:szCs w:val="21"/>
              </w:rPr>
            </w:pPr>
          </w:p>
          <w:p w14:paraId="7C11CF13">
            <w:pPr>
              <w:adjustRightInd w:val="0"/>
              <w:spacing w:line="360" w:lineRule="auto"/>
              <w:ind w:firstLine="0" w:firstLineChars="0"/>
              <w:rPr>
                <w:szCs w:val="21"/>
              </w:rPr>
            </w:pPr>
          </w:p>
          <w:p w14:paraId="602C5C79">
            <w:pPr>
              <w:adjustRightInd w:val="0"/>
              <w:spacing w:line="360" w:lineRule="auto"/>
              <w:ind w:firstLine="0" w:firstLineChars="0"/>
              <w:rPr>
                <w:szCs w:val="21"/>
              </w:rPr>
            </w:pPr>
            <w:r>
              <w:rPr>
                <w:rFonts w:hint="eastAsia"/>
                <w:szCs w:val="21"/>
              </w:rPr>
              <w:t>人员</w:t>
            </w:r>
          </w:p>
          <w:p w14:paraId="22335BA9">
            <w:pPr>
              <w:adjustRightInd w:val="0"/>
              <w:spacing w:line="360" w:lineRule="auto"/>
              <w:ind w:firstLine="0" w:firstLineChars="0"/>
              <w:rPr>
                <w:szCs w:val="21"/>
              </w:rPr>
            </w:pPr>
            <w:r>
              <w:rPr>
                <w:rFonts w:hint="eastAsia"/>
                <w:szCs w:val="21"/>
              </w:rPr>
              <w:t>管理</w:t>
            </w:r>
          </w:p>
        </w:tc>
        <w:tc>
          <w:tcPr>
            <w:tcW w:w="4819" w:type="dxa"/>
            <w:tcBorders>
              <w:top w:val="single" w:color="auto" w:sz="4" w:space="0"/>
              <w:left w:val="nil"/>
              <w:right w:val="single" w:color="auto" w:sz="4" w:space="0"/>
            </w:tcBorders>
            <w:noWrap w:val="0"/>
            <w:vAlign w:val="center"/>
          </w:tcPr>
          <w:p w14:paraId="5A1715CE">
            <w:pPr>
              <w:adjustRightInd w:val="0"/>
              <w:spacing w:line="360" w:lineRule="auto"/>
              <w:ind w:firstLine="0" w:firstLineChars="0"/>
              <w:rPr>
                <w:szCs w:val="21"/>
              </w:rPr>
            </w:pPr>
            <w:r>
              <w:rPr>
                <w:rFonts w:hint="eastAsia"/>
                <w:szCs w:val="21"/>
              </w:rPr>
              <w:t>1.合同期内，如甲方证实乙方派驻人员不足规定人数。</w:t>
            </w:r>
          </w:p>
        </w:tc>
        <w:tc>
          <w:tcPr>
            <w:tcW w:w="3827" w:type="dxa"/>
            <w:tcBorders>
              <w:top w:val="single" w:color="auto" w:sz="4" w:space="0"/>
              <w:left w:val="nil"/>
              <w:bottom w:val="single" w:color="auto" w:sz="4" w:space="0"/>
              <w:right w:val="single" w:color="auto" w:sz="4" w:space="0"/>
            </w:tcBorders>
            <w:noWrap w:val="0"/>
            <w:vAlign w:val="center"/>
          </w:tcPr>
          <w:p w14:paraId="660EA7E6">
            <w:pPr>
              <w:adjustRightInd w:val="0"/>
              <w:spacing w:line="360" w:lineRule="auto"/>
              <w:ind w:firstLine="0" w:firstLineChars="0"/>
              <w:rPr>
                <w:szCs w:val="21"/>
              </w:rPr>
            </w:pPr>
            <w:r>
              <w:rPr>
                <w:rFonts w:hint="eastAsia"/>
                <w:szCs w:val="21"/>
              </w:rPr>
              <w:t>一周以内：缺岗人数*缺岗天数*（岗位含税单价*110%/24）。</w:t>
            </w:r>
          </w:p>
          <w:p w14:paraId="52A013BC">
            <w:pPr>
              <w:adjustRightInd w:val="0"/>
              <w:spacing w:line="360" w:lineRule="auto"/>
              <w:ind w:firstLine="0" w:firstLineChars="0"/>
              <w:rPr>
                <w:szCs w:val="21"/>
              </w:rPr>
            </w:pPr>
            <w:r>
              <w:rPr>
                <w:rFonts w:hint="eastAsia"/>
                <w:szCs w:val="21"/>
              </w:rPr>
              <w:t>一周以上：按缺岗人数*缺岗天数*（岗位含税单价*120%/24）。</w:t>
            </w:r>
          </w:p>
        </w:tc>
      </w:tr>
      <w:tr w14:paraId="7FDE3359">
        <w:tblPrEx>
          <w:tblCellMar>
            <w:top w:w="0" w:type="dxa"/>
            <w:left w:w="108" w:type="dxa"/>
            <w:bottom w:w="0" w:type="dxa"/>
            <w:right w:w="108" w:type="dxa"/>
          </w:tblCellMar>
        </w:tblPrEx>
        <w:trPr>
          <w:trHeight w:val="170" w:hRule="atLeast"/>
        </w:trPr>
        <w:tc>
          <w:tcPr>
            <w:tcW w:w="709" w:type="dxa"/>
            <w:vMerge w:val="continue"/>
            <w:tcBorders>
              <w:left w:val="single" w:color="auto" w:sz="4" w:space="0"/>
              <w:right w:val="single" w:color="auto" w:sz="4" w:space="0"/>
            </w:tcBorders>
            <w:noWrap w:val="0"/>
            <w:vAlign w:val="center"/>
          </w:tcPr>
          <w:p w14:paraId="15E621BA">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2EB07DD8">
            <w:pPr>
              <w:adjustRightInd w:val="0"/>
              <w:spacing w:line="360" w:lineRule="auto"/>
              <w:ind w:firstLine="0" w:firstLineChars="0"/>
              <w:rPr>
                <w:szCs w:val="21"/>
              </w:rPr>
            </w:pPr>
            <w:r>
              <w:rPr>
                <w:rFonts w:hint="eastAsia"/>
                <w:szCs w:val="21"/>
              </w:rPr>
              <w:t>3.乙方更换或调整</w:t>
            </w:r>
            <w:r>
              <w:rPr>
                <w:rFonts w:hint="eastAsia"/>
                <w:szCs w:val="21"/>
                <w:lang w:val="en-US" w:eastAsia="zh-CN"/>
              </w:rPr>
              <w:t>安全综合主管</w:t>
            </w:r>
            <w:r>
              <w:rPr>
                <w:rFonts w:hint="eastAsia"/>
                <w:szCs w:val="21"/>
              </w:rPr>
              <w:t>，3天内完成，每超过1天扣150元。</w:t>
            </w:r>
          </w:p>
        </w:tc>
        <w:tc>
          <w:tcPr>
            <w:tcW w:w="3827" w:type="dxa"/>
            <w:tcBorders>
              <w:top w:val="single" w:color="auto" w:sz="4" w:space="0"/>
              <w:left w:val="nil"/>
              <w:bottom w:val="single" w:color="auto" w:sz="4" w:space="0"/>
              <w:right w:val="single" w:color="auto" w:sz="4" w:space="0"/>
            </w:tcBorders>
            <w:noWrap w:val="0"/>
            <w:vAlign w:val="center"/>
          </w:tcPr>
          <w:p w14:paraId="76D7458A">
            <w:pPr>
              <w:adjustRightInd w:val="0"/>
              <w:spacing w:line="360" w:lineRule="auto"/>
              <w:ind w:firstLine="0" w:firstLineChars="0"/>
              <w:rPr>
                <w:szCs w:val="21"/>
              </w:rPr>
            </w:pPr>
            <w:r>
              <w:rPr>
                <w:rFonts w:hint="eastAsia"/>
                <w:szCs w:val="21"/>
              </w:rPr>
              <w:t>考核扣款￥150—1000元/次</w:t>
            </w:r>
          </w:p>
        </w:tc>
      </w:tr>
      <w:tr w14:paraId="4FF50BCA">
        <w:tblPrEx>
          <w:tblCellMar>
            <w:top w:w="0" w:type="dxa"/>
            <w:left w:w="108" w:type="dxa"/>
            <w:bottom w:w="0" w:type="dxa"/>
            <w:right w:w="108" w:type="dxa"/>
          </w:tblCellMar>
        </w:tblPrEx>
        <w:trPr>
          <w:trHeight w:val="169" w:hRule="atLeast"/>
        </w:trPr>
        <w:tc>
          <w:tcPr>
            <w:tcW w:w="709" w:type="dxa"/>
            <w:vMerge w:val="continue"/>
            <w:tcBorders>
              <w:left w:val="single" w:color="auto" w:sz="4" w:space="0"/>
              <w:right w:val="single" w:color="auto" w:sz="4" w:space="0"/>
            </w:tcBorders>
            <w:noWrap w:val="0"/>
            <w:vAlign w:val="center"/>
          </w:tcPr>
          <w:p w14:paraId="63A5DDF1">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60FF0803">
            <w:pPr>
              <w:adjustRightInd w:val="0"/>
              <w:spacing w:line="360" w:lineRule="auto"/>
              <w:ind w:firstLine="0" w:firstLineChars="0"/>
              <w:rPr>
                <w:rFonts w:hint="eastAsia"/>
                <w:szCs w:val="21"/>
              </w:rPr>
            </w:pPr>
            <w:r>
              <w:rPr>
                <w:rFonts w:hint="eastAsia"/>
                <w:szCs w:val="21"/>
              </w:rPr>
              <w:t>4.中选人派驻形象岗队员身高要求：男性身高 1.75 米以上，女性身高1.65米以上</w:t>
            </w:r>
          </w:p>
          <w:p w14:paraId="3E21964E">
            <w:pPr>
              <w:adjustRightInd w:val="0"/>
              <w:spacing w:line="360" w:lineRule="auto"/>
              <w:ind w:firstLine="0" w:firstLineChars="0"/>
              <w:rPr>
                <w:rFonts w:hint="eastAsia"/>
                <w:szCs w:val="21"/>
              </w:rPr>
            </w:pPr>
            <w:r>
              <w:rPr>
                <w:rFonts w:hint="eastAsia"/>
                <w:szCs w:val="21"/>
              </w:rPr>
              <w:t>中选人派驻中控室男性身高1.70米以上</w:t>
            </w:r>
          </w:p>
          <w:p w14:paraId="3123F6CB">
            <w:pPr>
              <w:adjustRightInd w:val="0"/>
              <w:spacing w:line="360" w:lineRule="auto"/>
              <w:ind w:firstLine="0" w:firstLineChars="0"/>
              <w:rPr>
                <w:rFonts w:hint="eastAsia"/>
                <w:szCs w:val="21"/>
              </w:rPr>
            </w:pPr>
            <w:r>
              <w:rPr>
                <w:rFonts w:hint="eastAsia"/>
                <w:szCs w:val="21"/>
              </w:rPr>
              <w:t>中选人派驻秩序员男性身高 1.70 米以上，女性身高 1.60 米以上</w:t>
            </w:r>
          </w:p>
          <w:p w14:paraId="08A2ADF9">
            <w:pPr>
              <w:adjustRightInd w:val="0"/>
              <w:spacing w:line="360" w:lineRule="auto"/>
              <w:ind w:firstLine="0" w:firstLineChars="0"/>
              <w:rPr>
                <w:szCs w:val="21"/>
              </w:rPr>
            </w:pPr>
            <w:r>
              <w:rPr>
                <w:rFonts w:hint="eastAsia"/>
                <w:szCs w:val="21"/>
              </w:rPr>
              <w:t>中选人派驻安全综合主管身高要求：1.70米以上。</w:t>
            </w:r>
          </w:p>
        </w:tc>
        <w:tc>
          <w:tcPr>
            <w:tcW w:w="3827" w:type="dxa"/>
            <w:tcBorders>
              <w:top w:val="single" w:color="auto" w:sz="4" w:space="0"/>
              <w:left w:val="nil"/>
              <w:bottom w:val="single" w:color="auto" w:sz="4" w:space="0"/>
              <w:right w:val="single" w:color="auto" w:sz="4" w:space="0"/>
            </w:tcBorders>
            <w:noWrap w:val="0"/>
            <w:vAlign w:val="center"/>
          </w:tcPr>
          <w:p w14:paraId="30EC6819">
            <w:pPr>
              <w:adjustRightInd w:val="0"/>
              <w:spacing w:line="360" w:lineRule="auto"/>
              <w:ind w:firstLine="0" w:firstLineChars="0"/>
              <w:rPr>
                <w:szCs w:val="21"/>
              </w:rPr>
            </w:pPr>
            <w:r>
              <w:rPr>
                <w:rFonts w:hint="eastAsia"/>
                <w:szCs w:val="21"/>
              </w:rPr>
              <w:t>低于身高要求人数*￥50元/人/天。</w:t>
            </w:r>
          </w:p>
        </w:tc>
      </w:tr>
      <w:tr w14:paraId="4155ADA8">
        <w:tblPrEx>
          <w:tblCellMar>
            <w:top w:w="0" w:type="dxa"/>
            <w:left w:w="108" w:type="dxa"/>
            <w:bottom w:w="0" w:type="dxa"/>
            <w:right w:w="108" w:type="dxa"/>
          </w:tblCellMar>
        </w:tblPrEx>
        <w:trPr>
          <w:trHeight w:val="142" w:hRule="atLeast"/>
        </w:trPr>
        <w:tc>
          <w:tcPr>
            <w:tcW w:w="709" w:type="dxa"/>
            <w:vMerge w:val="continue"/>
            <w:tcBorders>
              <w:left w:val="single" w:color="auto" w:sz="4" w:space="0"/>
              <w:right w:val="single" w:color="auto" w:sz="4" w:space="0"/>
            </w:tcBorders>
            <w:noWrap w:val="0"/>
            <w:vAlign w:val="center"/>
          </w:tcPr>
          <w:p w14:paraId="4C2909B2">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0980229A">
            <w:pPr>
              <w:adjustRightInd w:val="0"/>
              <w:spacing w:line="360" w:lineRule="auto"/>
              <w:ind w:firstLine="0" w:firstLineChars="0"/>
              <w:rPr>
                <w:szCs w:val="21"/>
              </w:rPr>
            </w:pPr>
            <w:r>
              <w:rPr>
                <w:rFonts w:hint="eastAsia"/>
                <w:szCs w:val="21"/>
              </w:rPr>
              <w:t>5.乙方人员年龄要求： 按</w:t>
            </w:r>
            <w:r>
              <w:rPr>
                <w:rFonts w:hint="eastAsia"/>
                <w:szCs w:val="21"/>
                <w:lang w:val="en-US" w:eastAsia="zh-CN"/>
              </w:rPr>
              <w:t>比选</w:t>
            </w:r>
            <w:r>
              <w:rPr>
                <w:rFonts w:hint="eastAsia"/>
                <w:szCs w:val="21"/>
              </w:rPr>
              <w:t>文件及合同约定执行，超出年龄要求进行相应处罚。</w:t>
            </w:r>
          </w:p>
        </w:tc>
        <w:tc>
          <w:tcPr>
            <w:tcW w:w="3827" w:type="dxa"/>
            <w:tcBorders>
              <w:top w:val="single" w:color="auto" w:sz="4" w:space="0"/>
              <w:left w:val="nil"/>
              <w:bottom w:val="single" w:color="auto" w:sz="4" w:space="0"/>
              <w:right w:val="single" w:color="auto" w:sz="4" w:space="0"/>
            </w:tcBorders>
            <w:noWrap w:val="0"/>
            <w:vAlign w:val="center"/>
          </w:tcPr>
          <w:p w14:paraId="58BE6A26">
            <w:pPr>
              <w:adjustRightInd w:val="0"/>
              <w:spacing w:line="360" w:lineRule="auto"/>
              <w:ind w:firstLine="0" w:firstLineChars="0"/>
              <w:rPr>
                <w:szCs w:val="21"/>
              </w:rPr>
            </w:pPr>
            <w:r>
              <w:rPr>
                <w:rFonts w:hint="eastAsia"/>
                <w:szCs w:val="21"/>
              </w:rPr>
              <w:t>考核扣款￥20元/人/天</w:t>
            </w:r>
          </w:p>
        </w:tc>
      </w:tr>
      <w:tr w14:paraId="672D4C91">
        <w:tblPrEx>
          <w:tblCellMar>
            <w:top w:w="0" w:type="dxa"/>
            <w:left w:w="108" w:type="dxa"/>
            <w:bottom w:w="0" w:type="dxa"/>
            <w:right w:w="108" w:type="dxa"/>
          </w:tblCellMar>
        </w:tblPrEx>
        <w:trPr>
          <w:trHeight w:val="204" w:hRule="atLeast"/>
        </w:trPr>
        <w:tc>
          <w:tcPr>
            <w:tcW w:w="709" w:type="dxa"/>
            <w:vMerge w:val="continue"/>
            <w:tcBorders>
              <w:left w:val="single" w:color="auto" w:sz="4" w:space="0"/>
              <w:right w:val="single" w:color="auto" w:sz="4" w:space="0"/>
            </w:tcBorders>
            <w:noWrap w:val="0"/>
            <w:vAlign w:val="center"/>
          </w:tcPr>
          <w:p w14:paraId="583374EF">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07C32BDC">
            <w:pPr>
              <w:adjustRightInd w:val="0"/>
              <w:spacing w:line="360" w:lineRule="auto"/>
              <w:ind w:firstLine="0" w:firstLineChars="0"/>
              <w:rPr>
                <w:szCs w:val="21"/>
              </w:rPr>
            </w:pPr>
            <w:r>
              <w:rPr>
                <w:rFonts w:hint="eastAsia"/>
                <w:szCs w:val="21"/>
              </w:rPr>
              <w:t>6.乙方人员流失率要求：秩序维护人员月度流失率低于10</w:t>
            </w:r>
            <w:r>
              <w:rPr>
                <w:szCs w:val="21"/>
              </w:rPr>
              <w:t>%,</w:t>
            </w:r>
            <w:r>
              <w:rPr>
                <w:rFonts w:hint="eastAsia"/>
                <w:szCs w:val="21"/>
              </w:rPr>
              <w:t>年度流失率低于12</w:t>
            </w:r>
            <w:r>
              <w:rPr>
                <w:szCs w:val="21"/>
              </w:rPr>
              <w:t>%</w:t>
            </w:r>
            <w:r>
              <w:rPr>
                <w:rFonts w:hint="eastAsia"/>
                <w:szCs w:val="21"/>
              </w:rPr>
              <w:t>。</w:t>
            </w:r>
          </w:p>
        </w:tc>
        <w:tc>
          <w:tcPr>
            <w:tcW w:w="3827" w:type="dxa"/>
            <w:tcBorders>
              <w:top w:val="single" w:color="auto" w:sz="4" w:space="0"/>
              <w:left w:val="nil"/>
              <w:bottom w:val="single" w:color="auto" w:sz="4" w:space="0"/>
              <w:right w:val="single" w:color="auto" w:sz="4" w:space="0"/>
            </w:tcBorders>
            <w:noWrap w:val="0"/>
            <w:vAlign w:val="center"/>
          </w:tcPr>
          <w:p w14:paraId="79B610FB">
            <w:pPr>
              <w:adjustRightInd w:val="0"/>
              <w:spacing w:line="360" w:lineRule="auto"/>
              <w:ind w:firstLine="0" w:firstLineChars="0"/>
              <w:rPr>
                <w:szCs w:val="21"/>
              </w:rPr>
            </w:pPr>
            <w:r>
              <w:rPr>
                <w:rFonts w:hint="eastAsia"/>
                <w:szCs w:val="21"/>
              </w:rPr>
              <w:t>年度人员流失率高于12</w:t>
            </w:r>
            <w:r>
              <w:rPr>
                <w:szCs w:val="21"/>
              </w:rPr>
              <w:t>%</w:t>
            </w:r>
            <w:r>
              <w:rPr>
                <w:rFonts w:hint="eastAsia"/>
                <w:szCs w:val="21"/>
              </w:rPr>
              <w:t>，考核扣款2</w:t>
            </w:r>
            <w:r>
              <w:rPr>
                <w:szCs w:val="21"/>
              </w:rPr>
              <w:t>000</w:t>
            </w:r>
            <w:r>
              <w:rPr>
                <w:rFonts w:hint="eastAsia"/>
                <w:szCs w:val="21"/>
              </w:rPr>
              <w:t>元。</w:t>
            </w:r>
          </w:p>
        </w:tc>
      </w:tr>
      <w:tr w14:paraId="660F98A0">
        <w:tblPrEx>
          <w:tblCellMar>
            <w:top w:w="0" w:type="dxa"/>
            <w:left w:w="108" w:type="dxa"/>
            <w:bottom w:w="0" w:type="dxa"/>
            <w:right w:w="108" w:type="dxa"/>
          </w:tblCellMar>
        </w:tblPrEx>
        <w:trPr>
          <w:trHeight w:val="204" w:hRule="atLeast"/>
        </w:trPr>
        <w:tc>
          <w:tcPr>
            <w:tcW w:w="709" w:type="dxa"/>
            <w:vMerge w:val="continue"/>
            <w:tcBorders>
              <w:left w:val="single" w:color="auto" w:sz="4" w:space="0"/>
              <w:right w:val="single" w:color="auto" w:sz="4" w:space="0"/>
            </w:tcBorders>
            <w:noWrap w:val="0"/>
            <w:vAlign w:val="center"/>
          </w:tcPr>
          <w:p w14:paraId="30AD6C99">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5DB1DB75">
            <w:pPr>
              <w:adjustRightInd w:val="0"/>
              <w:spacing w:line="360" w:lineRule="auto"/>
              <w:ind w:firstLine="0" w:firstLineChars="0"/>
              <w:rPr>
                <w:szCs w:val="21"/>
              </w:rPr>
            </w:pPr>
            <w:r>
              <w:rPr>
                <w:rFonts w:hint="eastAsia"/>
                <w:szCs w:val="21"/>
              </w:rPr>
              <w:t>7.乙方人员有违法不良记录</w:t>
            </w:r>
          </w:p>
        </w:tc>
        <w:tc>
          <w:tcPr>
            <w:tcW w:w="3827" w:type="dxa"/>
            <w:tcBorders>
              <w:top w:val="single" w:color="auto" w:sz="4" w:space="0"/>
              <w:left w:val="nil"/>
              <w:bottom w:val="single" w:color="auto" w:sz="4" w:space="0"/>
              <w:right w:val="single" w:color="auto" w:sz="4" w:space="0"/>
            </w:tcBorders>
            <w:noWrap w:val="0"/>
            <w:vAlign w:val="center"/>
          </w:tcPr>
          <w:p w14:paraId="1661DC99">
            <w:pPr>
              <w:adjustRightInd w:val="0"/>
              <w:spacing w:line="360" w:lineRule="auto"/>
              <w:ind w:firstLine="0" w:firstLineChars="0"/>
              <w:rPr>
                <w:szCs w:val="21"/>
              </w:rPr>
            </w:pPr>
            <w:r>
              <w:rPr>
                <w:rFonts w:hint="eastAsia"/>
                <w:szCs w:val="21"/>
              </w:rPr>
              <w:t>考核扣款￥200元/人，并要求3天内更换人员</w:t>
            </w:r>
          </w:p>
        </w:tc>
      </w:tr>
      <w:tr w14:paraId="613C6033">
        <w:tblPrEx>
          <w:tblCellMar>
            <w:top w:w="0" w:type="dxa"/>
            <w:left w:w="108" w:type="dxa"/>
            <w:bottom w:w="0" w:type="dxa"/>
            <w:right w:w="108" w:type="dxa"/>
          </w:tblCellMar>
        </w:tblPrEx>
        <w:trPr>
          <w:trHeight w:val="169" w:hRule="atLeast"/>
        </w:trPr>
        <w:tc>
          <w:tcPr>
            <w:tcW w:w="709" w:type="dxa"/>
            <w:vMerge w:val="continue"/>
            <w:tcBorders>
              <w:left w:val="single" w:color="auto" w:sz="4" w:space="0"/>
              <w:right w:val="single" w:color="auto" w:sz="4" w:space="0"/>
            </w:tcBorders>
            <w:noWrap w:val="0"/>
            <w:vAlign w:val="center"/>
          </w:tcPr>
          <w:p w14:paraId="71E843F2">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6A9F79B5">
            <w:pPr>
              <w:adjustRightInd w:val="0"/>
              <w:spacing w:line="360" w:lineRule="auto"/>
              <w:ind w:firstLine="0" w:firstLineChars="0"/>
              <w:rPr>
                <w:szCs w:val="21"/>
              </w:rPr>
            </w:pPr>
            <w:r>
              <w:rPr>
                <w:rFonts w:hint="eastAsia"/>
                <w:szCs w:val="21"/>
              </w:rPr>
              <w:t>8.乙方私自调班、换班、换岗、换人</w:t>
            </w:r>
          </w:p>
        </w:tc>
        <w:tc>
          <w:tcPr>
            <w:tcW w:w="3827" w:type="dxa"/>
            <w:tcBorders>
              <w:top w:val="single" w:color="auto" w:sz="4" w:space="0"/>
              <w:left w:val="nil"/>
              <w:bottom w:val="single" w:color="auto" w:sz="4" w:space="0"/>
              <w:right w:val="single" w:color="auto" w:sz="4" w:space="0"/>
            </w:tcBorders>
            <w:noWrap w:val="0"/>
            <w:vAlign w:val="center"/>
          </w:tcPr>
          <w:p w14:paraId="67B185D0">
            <w:pPr>
              <w:adjustRightInd w:val="0"/>
              <w:spacing w:line="360" w:lineRule="auto"/>
              <w:ind w:firstLine="0" w:firstLineChars="0"/>
              <w:rPr>
                <w:szCs w:val="21"/>
              </w:rPr>
            </w:pPr>
            <w:r>
              <w:rPr>
                <w:rFonts w:hint="eastAsia"/>
                <w:szCs w:val="21"/>
              </w:rPr>
              <w:t>考核扣款￥20元/人/次</w:t>
            </w:r>
          </w:p>
        </w:tc>
      </w:tr>
      <w:tr w14:paraId="13FCB01B">
        <w:tblPrEx>
          <w:tblCellMar>
            <w:top w:w="0" w:type="dxa"/>
            <w:left w:w="108" w:type="dxa"/>
            <w:bottom w:w="0" w:type="dxa"/>
            <w:right w:w="108" w:type="dxa"/>
          </w:tblCellMar>
        </w:tblPrEx>
        <w:trPr>
          <w:trHeight w:val="177" w:hRule="atLeast"/>
        </w:trPr>
        <w:tc>
          <w:tcPr>
            <w:tcW w:w="709" w:type="dxa"/>
            <w:vMerge w:val="continue"/>
            <w:tcBorders>
              <w:left w:val="single" w:color="auto" w:sz="4" w:space="0"/>
              <w:bottom w:val="single" w:color="auto" w:sz="4" w:space="0"/>
              <w:right w:val="single" w:color="auto" w:sz="4" w:space="0"/>
            </w:tcBorders>
            <w:noWrap w:val="0"/>
            <w:vAlign w:val="center"/>
          </w:tcPr>
          <w:p w14:paraId="4878B90C">
            <w:pPr>
              <w:adjustRightInd w:val="0"/>
              <w:spacing w:line="360" w:lineRule="auto"/>
              <w:ind w:firstLine="0" w:firstLineChars="0"/>
              <w:rPr>
                <w:szCs w:val="21"/>
              </w:rPr>
            </w:pPr>
          </w:p>
        </w:tc>
        <w:tc>
          <w:tcPr>
            <w:tcW w:w="4819" w:type="dxa"/>
            <w:tcBorders>
              <w:top w:val="single" w:color="auto" w:sz="4" w:space="0"/>
              <w:left w:val="nil"/>
              <w:bottom w:val="single" w:color="auto" w:sz="4" w:space="0"/>
              <w:right w:val="single" w:color="auto" w:sz="4" w:space="0"/>
            </w:tcBorders>
            <w:noWrap w:val="0"/>
            <w:vAlign w:val="center"/>
          </w:tcPr>
          <w:p w14:paraId="13D9CC39">
            <w:pPr>
              <w:adjustRightInd w:val="0"/>
              <w:spacing w:line="360" w:lineRule="auto"/>
              <w:ind w:firstLine="0" w:firstLineChars="0"/>
              <w:rPr>
                <w:szCs w:val="21"/>
              </w:rPr>
            </w:pPr>
            <w:r>
              <w:rPr>
                <w:rFonts w:hint="eastAsia"/>
                <w:szCs w:val="21"/>
              </w:rPr>
              <w:t>9.其他人员管控标准不到位</w:t>
            </w:r>
          </w:p>
        </w:tc>
        <w:tc>
          <w:tcPr>
            <w:tcW w:w="3827" w:type="dxa"/>
            <w:tcBorders>
              <w:top w:val="single" w:color="auto" w:sz="4" w:space="0"/>
              <w:left w:val="nil"/>
              <w:bottom w:val="single" w:color="auto" w:sz="4" w:space="0"/>
              <w:right w:val="single" w:color="auto" w:sz="4" w:space="0"/>
            </w:tcBorders>
            <w:noWrap w:val="0"/>
            <w:vAlign w:val="center"/>
          </w:tcPr>
          <w:p w14:paraId="759E08CC">
            <w:pPr>
              <w:adjustRightInd w:val="0"/>
              <w:spacing w:line="360" w:lineRule="auto"/>
              <w:ind w:firstLine="0" w:firstLineChars="0"/>
              <w:rPr>
                <w:szCs w:val="21"/>
              </w:rPr>
            </w:pPr>
            <w:r>
              <w:rPr>
                <w:rFonts w:hint="eastAsia"/>
                <w:szCs w:val="21"/>
              </w:rPr>
              <w:t>考核扣款￥20—1000元/次</w:t>
            </w:r>
          </w:p>
        </w:tc>
      </w:tr>
    </w:tbl>
    <w:p w14:paraId="7415B2A6">
      <w:pPr>
        <w:adjustRightInd w:val="0"/>
        <w:spacing w:line="360" w:lineRule="auto"/>
        <w:rPr>
          <w:szCs w:val="21"/>
        </w:rPr>
      </w:pPr>
    </w:p>
    <w:p w14:paraId="084A15AF">
      <w:pPr>
        <w:adjustRightInd w:val="0"/>
        <w:spacing w:line="360" w:lineRule="auto"/>
        <w:rPr>
          <w:szCs w:val="21"/>
        </w:rPr>
      </w:pPr>
      <w:r>
        <w:rPr>
          <w:szCs w:val="21"/>
        </w:rPr>
        <w:br w:type="page"/>
      </w:r>
    </w:p>
    <w:p w14:paraId="196B0E4D">
      <w:pPr>
        <w:adjustRightInd w:val="0"/>
        <w:spacing w:line="360" w:lineRule="auto"/>
        <w:jc w:val="left"/>
        <w:rPr>
          <w:szCs w:val="21"/>
        </w:rPr>
      </w:pPr>
      <w:r>
        <w:rPr>
          <w:rFonts w:hint="eastAsia"/>
          <w:szCs w:val="21"/>
        </w:rPr>
        <w:t>附件五：廉政协议书</w:t>
      </w:r>
    </w:p>
    <w:p w14:paraId="5B1E6B66">
      <w:pPr>
        <w:adjustRightInd w:val="0"/>
        <w:spacing w:line="360" w:lineRule="auto"/>
        <w:rPr>
          <w:szCs w:val="21"/>
        </w:rPr>
      </w:pPr>
    </w:p>
    <w:p w14:paraId="44141A9D">
      <w:pPr>
        <w:adjustRightInd w:val="0"/>
        <w:spacing w:line="360" w:lineRule="auto"/>
        <w:ind w:firstLine="640"/>
        <w:jc w:val="center"/>
        <w:rPr>
          <w:sz w:val="32"/>
          <w:szCs w:val="32"/>
        </w:rPr>
      </w:pPr>
      <w:r>
        <w:rPr>
          <w:rFonts w:hint="eastAsia"/>
          <w:sz w:val="32"/>
          <w:szCs w:val="32"/>
        </w:rPr>
        <w:t>廉政协议书</w:t>
      </w:r>
    </w:p>
    <w:p w14:paraId="5632D254">
      <w:pPr>
        <w:adjustRightInd w:val="0"/>
        <w:spacing w:line="360" w:lineRule="auto"/>
        <w:rPr>
          <w:szCs w:val="21"/>
        </w:rPr>
      </w:pPr>
    </w:p>
    <w:p w14:paraId="13060E9B">
      <w:pPr>
        <w:adjustRightInd w:val="0"/>
        <w:spacing w:line="360" w:lineRule="auto"/>
        <w:rPr>
          <w:rFonts w:hint="eastAsia"/>
          <w:szCs w:val="21"/>
        </w:rPr>
      </w:pPr>
    </w:p>
    <w:p w14:paraId="2A013339">
      <w:pPr>
        <w:adjustRightInd w:val="0"/>
        <w:spacing w:line="360" w:lineRule="auto"/>
        <w:rPr>
          <w:rFonts w:hint="eastAsia"/>
          <w:szCs w:val="21"/>
        </w:rPr>
      </w:pPr>
      <w:r>
        <w:rPr>
          <w:rFonts w:hint="eastAsia"/>
          <w:szCs w:val="21"/>
        </w:rPr>
        <w:t>甲方：</w:t>
      </w:r>
      <w:r>
        <w:rPr>
          <w:rFonts w:hint="eastAsia"/>
          <w:szCs w:val="21"/>
          <w:u w:val="single"/>
        </w:rPr>
        <w:t xml:space="preserve">                       </w:t>
      </w:r>
      <w:r>
        <w:rPr>
          <w:rFonts w:hint="eastAsia"/>
          <w:szCs w:val="21"/>
        </w:rPr>
        <w:t xml:space="preserve">                       </w:t>
      </w:r>
    </w:p>
    <w:p w14:paraId="65D11BF5">
      <w:pPr>
        <w:adjustRightInd w:val="0"/>
        <w:spacing w:line="360" w:lineRule="auto"/>
        <w:rPr>
          <w:rFonts w:hint="eastAsia"/>
          <w:szCs w:val="21"/>
        </w:rPr>
      </w:pPr>
      <w:r>
        <w:rPr>
          <w:rFonts w:hint="eastAsia"/>
          <w:szCs w:val="21"/>
        </w:rPr>
        <w:t>乙方：</w:t>
      </w:r>
      <w:r>
        <w:rPr>
          <w:rFonts w:hint="eastAsia"/>
          <w:szCs w:val="21"/>
          <w:u w:val="single"/>
        </w:rPr>
        <w:t xml:space="preserve">                      （</w:t>
      </w:r>
      <w:r>
        <w:rPr>
          <w:rFonts w:hint="eastAsia"/>
          <w:szCs w:val="21"/>
        </w:rPr>
        <w:t>合作方）</w:t>
      </w:r>
    </w:p>
    <w:p w14:paraId="0AB48C2B">
      <w:pPr>
        <w:adjustRightInd w:val="0"/>
        <w:spacing w:line="360" w:lineRule="auto"/>
        <w:rPr>
          <w:rFonts w:hint="eastAsia"/>
          <w:szCs w:val="21"/>
        </w:rPr>
      </w:pPr>
    </w:p>
    <w:p w14:paraId="11955701">
      <w:pPr>
        <w:adjustRightInd w:val="0"/>
        <w:spacing w:line="360" w:lineRule="auto"/>
        <w:rPr>
          <w:rFonts w:hint="eastAsia"/>
          <w:szCs w:val="21"/>
        </w:rPr>
      </w:pPr>
      <w:r>
        <w:rPr>
          <w:rFonts w:hint="eastAsia"/>
          <w:szCs w:val="21"/>
        </w:rPr>
        <w:t>为共同维护商业活动公平竞争秩序，保证甲乙双方在业务交往活动中做到诚信、廉洁、高效和共赢，特订本协议如下：</w:t>
      </w:r>
    </w:p>
    <w:p w14:paraId="7A9F81D2">
      <w:pPr>
        <w:adjustRightInd w:val="0"/>
        <w:spacing w:line="360" w:lineRule="auto"/>
        <w:rPr>
          <w:rFonts w:hint="eastAsia"/>
          <w:szCs w:val="21"/>
        </w:rPr>
      </w:pPr>
      <w:r>
        <w:rPr>
          <w:rFonts w:hint="eastAsia"/>
          <w:szCs w:val="21"/>
        </w:rPr>
        <w:t>一、双方在合作过程中，自觉遵守国家法律、法规，按照《中华人民共和国反不正当竞争法》《中华人民共和国招标投标法》《关于禁止商业贿赂行为的暂行规定》以及其他相关规定开展商业交易活动。</w:t>
      </w:r>
    </w:p>
    <w:p w14:paraId="29933564">
      <w:pPr>
        <w:adjustRightInd w:val="0"/>
        <w:spacing w:line="360" w:lineRule="auto"/>
        <w:rPr>
          <w:rFonts w:hint="eastAsia"/>
          <w:szCs w:val="21"/>
        </w:rPr>
      </w:pPr>
      <w:r>
        <w:rPr>
          <w:rFonts w:hint="eastAsia"/>
          <w:szCs w:val="21"/>
        </w:rPr>
        <w:t>二、乙方单位及工作人员禁止以任何形式宴请甲方工作人员，不得以任何形式赠送实物、现金、礼券、提货卡等物品，以及不得以其他任何方式给予甲方工作人员好处，否则，甲方视为乙方违约，并承担违约金：第一次发现1万元；第二次发现 2 万元；第三次发现 4万元，以此类推，累计计算。若出现 3 次及以上，乙方单位将丧失与甲方合作机会， 列入甲方全公司黑名单，三年内不得与甲方合作。</w:t>
      </w:r>
    </w:p>
    <w:p w14:paraId="13750B2A">
      <w:pPr>
        <w:adjustRightInd w:val="0"/>
        <w:spacing w:line="360" w:lineRule="auto"/>
        <w:rPr>
          <w:rFonts w:hint="eastAsia"/>
          <w:szCs w:val="21"/>
        </w:rPr>
      </w:pPr>
      <w:r>
        <w:rPr>
          <w:rFonts w:hint="eastAsia"/>
          <w:szCs w:val="21"/>
        </w:rPr>
        <w:t>三、乙方单位或人员向业主收受（或索要）财物（或者权利）、损害甲方品牌形象，或者乙方单位或者人员侵占甲方业务管理或者经营范围的应得收入的，乙方应承担违约责任或者侵权责任。乙方及其工作人员违反本协议的约定或者《中华人民共和国反不正当竞争法》《中华人民共和国招标投标法》《关于禁止商业贿赂行为的暂行规定》的规定的，乙方应承担的违约金标准如下：第一次发现 1 万元；第二次发现 2 万元；第三次发现4万元，以此类推，累计计算。若出现 3 次及以上，乙方单位将丧失与甲方合作机会，列入甲方及其关联公司黑名单，三年内不再合作。</w:t>
      </w:r>
    </w:p>
    <w:p w14:paraId="363AE0F4">
      <w:pPr>
        <w:adjustRightInd w:val="0"/>
        <w:spacing w:line="360" w:lineRule="auto"/>
        <w:rPr>
          <w:rFonts w:hint="eastAsia"/>
          <w:szCs w:val="21"/>
        </w:rPr>
      </w:pPr>
      <w:r>
        <w:rPr>
          <w:rFonts w:hint="eastAsia"/>
          <w:szCs w:val="21"/>
        </w:rPr>
        <w:t>四、乙方在本合同履行期间发现乙方工作人员有任何向甲方工作人员行贿行为，均应及时采取措施予以制止，并及时通报甲方。</w:t>
      </w:r>
    </w:p>
    <w:p w14:paraId="435264E3">
      <w:pPr>
        <w:adjustRightInd w:val="0"/>
        <w:spacing w:line="360" w:lineRule="auto"/>
        <w:rPr>
          <w:rFonts w:hint="eastAsia"/>
          <w:szCs w:val="21"/>
        </w:rPr>
      </w:pPr>
      <w:r>
        <w:rPr>
          <w:rFonts w:hint="eastAsia"/>
          <w:szCs w:val="21"/>
        </w:rPr>
        <w:t>五、乙方有责任接受甲方对乙方及工作人员在本合同履行期间廉洁合作管理执行情况的监督。</w:t>
      </w:r>
    </w:p>
    <w:p w14:paraId="1EA24EBD">
      <w:pPr>
        <w:adjustRightInd w:val="0"/>
        <w:spacing w:line="360" w:lineRule="auto"/>
        <w:rPr>
          <w:rFonts w:hint="eastAsia"/>
          <w:szCs w:val="21"/>
        </w:rPr>
      </w:pPr>
      <w:r>
        <w:rPr>
          <w:rFonts w:hint="eastAsia"/>
          <w:szCs w:val="21"/>
        </w:rPr>
        <w:t>六、乙方工作人员有义务就甲方工作人员任何形式的索贿或受贿行为及时向甲方举报。廉政举报方式：电话举报：023-68159531 纪检工作室；如乙方向甲方工作人员行贿，或甲方工作人员向乙方索贿，乙方满足其要求且并未向甲方举报的，一经查实，除追回由此给甲方造成的损失外，乙方同意按照主合同总价款的10%的标准减少甲方的应付款项作为乙方应支付的违约金，并由乙方对知情不报人员进行相应处罚。若向甲方举报的，一经查实，甲方将每次给予乙方1000-10000元的奖励。</w:t>
      </w:r>
    </w:p>
    <w:p w14:paraId="488D1E7B">
      <w:pPr>
        <w:adjustRightInd w:val="0"/>
        <w:spacing w:line="360" w:lineRule="auto"/>
        <w:rPr>
          <w:rFonts w:hint="eastAsia"/>
          <w:szCs w:val="21"/>
        </w:rPr>
      </w:pPr>
      <w:r>
        <w:rPr>
          <w:rFonts w:hint="eastAsia"/>
          <w:szCs w:val="21"/>
        </w:rPr>
        <w:t>七、乙方应配合甲方审计监察工作，包括审计调查中针对合作事实情况进行现场确认、在不涉及合作单位商业机密的情况下提供相关资料、针对沟通内容记录进行确认签字等。</w:t>
      </w:r>
    </w:p>
    <w:p w14:paraId="577A45AA">
      <w:pPr>
        <w:adjustRightInd w:val="0"/>
        <w:spacing w:line="360" w:lineRule="auto"/>
        <w:rPr>
          <w:rFonts w:hint="eastAsia"/>
          <w:szCs w:val="21"/>
        </w:rPr>
      </w:pPr>
      <w:r>
        <w:rPr>
          <w:rFonts w:hint="eastAsia"/>
          <w:szCs w:val="21"/>
        </w:rPr>
        <w:t>八、如因乙方单位及工作人员在本合同履行期间贿赂甲方工作人员，被公安司法机关立案侦查的，甲方有权终止主合同的履行，并由乙方按合同总价款的10%向甲方承担违约责任。</w:t>
      </w:r>
    </w:p>
    <w:p w14:paraId="2AD6C68D">
      <w:pPr>
        <w:adjustRightInd w:val="0"/>
        <w:spacing w:line="360" w:lineRule="auto"/>
        <w:rPr>
          <w:rFonts w:hint="eastAsia"/>
          <w:szCs w:val="21"/>
        </w:rPr>
      </w:pPr>
      <w:r>
        <w:rPr>
          <w:rFonts w:hint="eastAsia"/>
          <w:szCs w:val="21"/>
        </w:rPr>
        <w:t>九、本协议份数应不少于主合同正式份数，视同主合同的附件进行管理，主合同正本均需附本协议并妥善保管。</w:t>
      </w:r>
    </w:p>
    <w:p w14:paraId="5848BB47">
      <w:pPr>
        <w:adjustRightInd w:val="0"/>
        <w:spacing w:line="360" w:lineRule="auto"/>
        <w:rPr>
          <w:rFonts w:hint="eastAsia"/>
          <w:szCs w:val="21"/>
        </w:rPr>
      </w:pPr>
      <w:r>
        <w:rPr>
          <w:rFonts w:hint="eastAsia"/>
          <w:szCs w:val="21"/>
        </w:rPr>
        <w:t>十、本协议有效期与主合同或交易事项期限相同。</w:t>
      </w:r>
    </w:p>
    <w:p w14:paraId="099B85DB">
      <w:pPr>
        <w:adjustRightInd w:val="0"/>
        <w:spacing w:line="360" w:lineRule="auto"/>
        <w:rPr>
          <w:rFonts w:hint="eastAsia"/>
          <w:szCs w:val="21"/>
        </w:rPr>
      </w:pPr>
      <w:r>
        <w:rPr>
          <w:rFonts w:hint="eastAsia"/>
          <w:szCs w:val="21"/>
        </w:rPr>
        <w:t>十一、主合同中关于廉政内容的约定与本协议相冲突的，以本协议为准。</w:t>
      </w:r>
    </w:p>
    <w:p w14:paraId="303B9726">
      <w:pPr>
        <w:adjustRightInd w:val="0"/>
        <w:spacing w:line="360" w:lineRule="auto"/>
        <w:rPr>
          <w:szCs w:val="21"/>
        </w:rPr>
      </w:pPr>
    </w:p>
    <w:p w14:paraId="34546A9B">
      <w:pPr>
        <w:adjustRightInd w:val="0"/>
        <w:spacing w:line="360" w:lineRule="auto"/>
        <w:rPr>
          <w:szCs w:val="21"/>
        </w:rPr>
      </w:pPr>
    </w:p>
    <w:p w14:paraId="0C0942BB">
      <w:pPr>
        <w:adjustRightInd w:val="0"/>
        <w:spacing w:line="360" w:lineRule="auto"/>
        <w:rPr>
          <w:szCs w:val="21"/>
        </w:rPr>
      </w:pPr>
    </w:p>
    <w:p w14:paraId="3A9CE11D">
      <w:pPr>
        <w:adjustRightInd w:val="0"/>
        <w:spacing w:line="360" w:lineRule="auto"/>
        <w:rPr>
          <w:szCs w:val="21"/>
        </w:rPr>
      </w:pPr>
    </w:p>
    <w:p w14:paraId="61368474">
      <w:pPr>
        <w:adjustRightInd w:val="0"/>
        <w:spacing w:line="360" w:lineRule="auto"/>
        <w:rPr>
          <w:szCs w:val="21"/>
        </w:rPr>
      </w:pPr>
    </w:p>
    <w:p w14:paraId="11E60D4D">
      <w:pPr>
        <w:adjustRightInd w:val="0"/>
        <w:spacing w:line="360" w:lineRule="auto"/>
        <w:rPr>
          <w:rFonts w:hint="eastAsia"/>
          <w:szCs w:val="21"/>
        </w:rPr>
      </w:pPr>
      <w:r>
        <w:rPr>
          <w:rFonts w:hint="eastAsia"/>
          <w:szCs w:val="21"/>
        </w:rPr>
        <w:t>甲方（公章）：                   乙方（公章）：</w:t>
      </w:r>
    </w:p>
    <w:p w14:paraId="6CA956A8">
      <w:pPr>
        <w:adjustRightInd w:val="0"/>
        <w:spacing w:line="360" w:lineRule="auto"/>
        <w:rPr>
          <w:rFonts w:hint="eastAsia"/>
          <w:szCs w:val="21"/>
        </w:rPr>
      </w:pPr>
      <w:r>
        <w:rPr>
          <w:rFonts w:hint="eastAsia"/>
          <w:szCs w:val="21"/>
        </w:rPr>
        <w:t>法定代表人/授权代表：             法定代表人/授权代表：</w:t>
      </w:r>
    </w:p>
    <w:p w14:paraId="1F1A5FBE">
      <w:pPr>
        <w:adjustRightInd w:val="0"/>
        <w:spacing w:line="360" w:lineRule="auto"/>
        <w:rPr>
          <w:rFonts w:hint="eastAsia"/>
          <w:szCs w:val="21"/>
        </w:rPr>
      </w:pPr>
      <w:r>
        <w:rPr>
          <w:rFonts w:hint="eastAsia"/>
          <w:szCs w:val="21"/>
        </w:rPr>
        <w:t>年   月   日                        年   月   日</w:t>
      </w:r>
    </w:p>
    <w:p w14:paraId="21FD891D">
      <w:pPr>
        <w:adjustRightInd w:val="0"/>
        <w:spacing w:line="360" w:lineRule="auto"/>
        <w:rPr>
          <w:szCs w:val="21"/>
        </w:rPr>
      </w:pPr>
    </w:p>
    <w:p w14:paraId="1A92337B">
      <w:pPr>
        <w:adjustRightInd w:val="0"/>
        <w:spacing w:line="360" w:lineRule="auto"/>
        <w:rPr>
          <w:szCs w:val="21"/>
        </w:rPr>
      </w:pPr>
      <w:r>
        <w:rPr>
          <w:rFonts w:hint="eastAsia"/>
          <w:szCs w:val="21"/>
        </w:rPr>
        <w:br w:type="page"/>
      </w:r>
    </w:p>
    <w:p w14:paraId="36DBE5B1">
      <w:pPr>
        <w:adjustRightInd w:val="0"/>
        <w:spacing w:line="360" w:lineRule="auto"/>
        <w:rPr>
          <w:szCs w:val="21"/>
        </w:rPr>
      </w:pPr>
      <w:r>
        <w:rPr>
          <w:rFonts w:hint="eastAsia"/>
          <w:szCs w:val="21"/>
        </w:rPr>
        <w:t>附件六：安全责任承诺书</w:t>
      </w:r>
    </w:p>
    <w:p w14:paraId="1EB9D404">
      <w:pPr>
        <w:adjustRightInd w:val="0"/>
        <w:spacing w:line="360" w:lineRule="auto"/>
        <w:rPr>
          <w:szCs w:val="21"/>
        </w:rPr>
      </w:pPr>
    </w:p>
    <w:p w14:paraId="63A63DB8">
      <w:pPr>
        <w:adjustRightInd w:val="0"/>
        <w:spacing w:line="360" w:lineRule="auto"/>
        <w:ind w:firstLine="640"/>
        <w:jc w:val="center"/>
        <w:rPr>
          <w:rFonts w:hint="eastAsia"/>
          <w:sz w:val="32"/>
          <w:szCs w:val="32"/>
        </w:rPr>
      </w:pPr>
      <w:r>
        <w:rPr>
          <w:rFonts w:hint="eastAsia"/>
          <w:sz w:val="32"/>
          <w:szCs w:val="32"/>
        </w:rPr>
        <w:t>安全责任承诺书</w:t>
      </w:r>
    </w:p>
    <w:p w14:paraId="241E56AC">
      <w:pPr>
        <w:adjustRightInd w:val="0"/>
        <w:spacing w:line="360" w:lineRule="auto"/>
        <w:ind w:firstLine="640"/>
        <w:jc w:val="center"/>
        <w:rPr>
          <w:rFonts w:hint="eastAsia"/>
          <w:sz w:val="32"/>
          <w:szCs w:val="32"/>
        </w:rPr>
      </w:pPr>
    </w:p>
    <w:p w14:paraId="0B279040">
      <w:pPr>
        <w:adjustRightInd w:val="0"/>
        <w:spacing w:line="360" w:lineRule="auto"/>
        <w:rPr>
          <w:szCs w:val="21"/>
        </w:rPr>
      </w:pPr>
      <w:r>
        <w:rPr>
          <w:rFonts w:hint="eastAsia"/>
          <w:szCs w:val="21"/>
          <w:u w:val="single"/>
        </w:rPr>
        <w:t xml:space="preserve">                              </w:t>
      </w:r>
      <w:r>
        <w:rPr>
          <w:rFonts w:hint="eastAsia"/>
          <w:szCs w:val="21"/>
        </w:rPr>
        <w:t>：</w:t>
      </w:r>
    </w:p>
    <w:p w14:paraId="24A6F5BF">
      <w:pPr>
        <w:adjustRightInd w:val="0"/>
        <w:spacing w:line="360" w:lineRule="auto"/>
        <w:rPr>
          <w:szCs w:val="21"/>
        </w:rPr>
      </w:pPr>
      <w:r>
        <w:rPr>
          <w:rFonts w:hint="eastAsia"/>
          <w:szCs w:val="21"/>
        </w:rPr>
        <w:t>本公司为贵公司</w:t>
      </w:r>
      <w:r>
        <w:rPr>
          <w:rFonts w:hint="eastAsia"/>
          <w:szCs w:val="21"/>
          <w:u w:val="single"/>
        </w:rPr>
        <w:t xml:space="preserve">            </w:t>
      </w:r>
      <w:r>
        <w:rPr>
          <w:rFonts w:hint="eastAsia"/>
          <w:szCs w:val="21"/>
        </w:rPr>
        <w:t>项目提供 秩序 服务/产品，在提供服务/产品的过程中，□涉及  □不涉及特种作业，如存在特种作业，该特种作业为以下第[</w:t>
      </w:r>
      <w:r>
        <w:rPr>
          <w:rFonts w:hint="eastAsia"/>
          <w:szCs w:val="21"/>
          <w:u w:val="single"/>
        </w:rPr>
        <w:t xml:space="preserve">       </w:t>
      </w:r>
      <w:r>
        <w:rPr>
          <w:rFonts w:hint="eastAsia"/>
          <w:szCs w:val="21"/>
        </w:rPr>
        <w:t>]种：①高空作业；②电工作业；③焊接与热切割作业；④制冷与空调作业；⑤其他：</w:t>
      </w:r>
      <w:r>
        <w:rPr>
          <w:rFonts w:hint="eastAsia"/>
          <w:szCs w:val="21"/>
          <w:u w:val="single"/>
        </w:rPr>
        <w:t xml:space="preserve">              </w:t>
      </w:r>
      <w:r>
        <w:rPr>
          <w:rFonts w:hint="eastAsia"/>
          <w:szCs w:val="21"/>
        </w:rPr>
        <w:t>。</w:t>
      </w:r>
    </w:p>
    <w:p w14:paraId="5FD56134">
      <w:pPr>
        <w:adjustRightInd w:val="0"/>
        <w:spacing w:line="360" w:lineRule="auto"/>
        <w:rPr>
          <w:szCs w:val="21"/>
        </w:rPr>
      </w:pPr>
      <w:r>
        <w:rPr>
          <w:rFonts w:hint="eastAsia"/>
          <w:szCs w:val="21"/>
        </w:rPr>
        <w:t>本公司承诺在开展业务的过程中严格遵守《中华人民共和国安全生产法》、《中华人民共和国消防法》等法律法规的规定，严格遵守安全管理规范。本公司郑重承诺：</w:t>
      </w:r>
    </w:p>
    <w:p w14:paraId="7910453C">
      <w:pPr>
        <w:adjustRightInd w:val="0"/>
        <w:spacing w:line="360" w:lineRule="auto"/>
        <w:rPr>
          <w:szCs w:val="21"/>
        </w:rPr>
      </w:pPr>
      <w:r>
        <w:rPr>
          <w:rFonts w:hint="eastAsia"/>
          <w:szCs w:val="21"/>
        </w:rPr>
        <w:t>（一）业务开展前</w:t>
      </w:r>
    </w:p>
    <w:p w14:paraId="5B3E9F19">
      <w:pPr>
        <w:adjustRightInd w:val="0"/>
        <w:spacing w:line="360" w:lineRule="auto"/>
        <w:rPr>
          <w:szCs w:val="21"/>
        </w:rPr>
      </w:pPr>
      <w:r>
        <w:rPr>
          <w:rFonts w:hint="eastAsia"/>
          <w:szCs w:val="21"/>
        </w:rPr>
        <w:t>1、本公司应对现场进行踏勘，确认拟开展业务的场地不存在风险因素，包括但不限于供电、供水、供气设备运行正常，现场无障碍物、无易燃易爆物品。</w:t>
      </w:r>
    </w:p>
    <w:p w14:paraId="2E5BC48D">
      <w:pPr>
        <w:adjustRightInd w:val="0"/>
        <w:spacing w:line="360" w:lineRule="auto"/>
        <w:rPr>
          <w:szCs w:val="21"/>
        </w:rPr>
      </w:pPr>
      <w:r>
        <w:rPr>
          <w:rFonts w:hint="eastAsia"/>
          <w:szCs w:val="21"/>
        </w:rPr>
        <w:t>2、本公司对现场开展业务的人员已完成了必要的专业技能培训、安全管理培训等，本公司现场人员均熟悉安全管理规范，能够处理、应对突发安全事故，并采取应急措施以避免、减轻人身财产损失。</w:t>
      </w:r>
    </w:p>
    <w:p w14:paraId="1CCF03B5">
      <w:pPr>
        <w:adjustRightInd w:val="0"/>
        <w:spacing w:line="360" w:lineRule="auto"/>
        <w:rPr>
          <w:szCs w:val="21"/>
        </w:rPr>
      </w:pPr>
      <w:r>
        <w:rPr>
          <w:rFonts w:hint="eastAsia"/>
          <w:szCs w:val="21"/>
        </w:rPr>
        <w:t>3、本公司在开展业务前，已为相关人员购买了社会保险或者雇主责任险、人身意外保险等。</w:t>
      </w:r>
    </w:p>
    <w:p w14:paraId="525F8C67">
      <w:pPr>
        <w:adjustRightInd w:val="0"/>
        <w:spacing w:line="360" w:lineRule="auto"/>
        <w:rPr>
          <w:szCs w:val="21"/>
        </w:rPr>
      </w:pPr>
      <w:r>
        <w:rPr>
          <w:rFonts w:hint="eastAsia"/>
          <w:szCs w:val="21"/>
        </w:rPr>
        <w:t>4、本公司已为相关人员提供了劳动保障，购买并配置了劳动保障物资，能够保障人员在履职过程中的人身和财产安全。</w:t>
      </w:r>
    </w:p>
    <w:p w14:paraId="27F71022">
      <w:pPr>
        <w:adjustRightInd w:val="0"/>
        <w:spacing w:line="360" w:lineRule="auto"/>
        <w:rPr>
          <w:szCs w:val="21"/>
        </w:rPr>
      </w:pPr>
      <w:r>
        <w:rPr>
          <w:rFonts w:hint="eastAsia"/>
          <w:szCs w:val="21"/>
        </w:rPr>
        <w:t>5、自然环境异常的，如开展业务的地点出现高温、高压、低温、低压、台风、特大暴雨、暴雨、洪水、泥石流等情况的，本公司将避免户外作业或者中止作业。</w:t>
      </w:r>
    </w:p>
    <w:p w14:paraId="32809697">
      <w:pPr>
        <w:adjustRightInd w:val="0"/>
        <w:spacing w:line="360" w:lineRule="auto"/>
        <w:rPr>
          <w:szCs w:val="21"/>
        </w:rPr>
      </w:pPr>
      <w:r>
        <w:rPr>
          <w:rFonts w:hint="eastAsia"/>
          <w:szCs w:val="21"/>
        </w:rPr>
        <w:t>6、使用升降机、人字梯等实施作业：应检查升降机装置与悬吊平台的连接是否有松动、变性、裂纹；开展运行试验，即将悬吊平台升至离地面2至3米做上下运动2至3次，检查运行是否正常；检查是否有意向声音或者震动。</w:t>
      </w:r>
    </w:p>
    <w:p w14:paraId="4FE55922">
      <w:pPr>
        <w:adjustRightInd w:val="0"/>
        <w:spacing w:line="360" w:lineRule="auto"/>
        <w:rPr>
          <w:szCs w:val="21"/>
        </w:rPr>
      </w:pPr>
      <w:r>
        <w:rPr>
          <w:rFonts w:hint="eastAsia"/>
          <w:szCs w:val="21"/>
        </w:rPr>
        <w:t>7、悬挂作业：应提前清场，划定警戒区，梳理明显标识，移走作业附近车辆等重要设施；高处吊装重物的，必须设专人指挥；物品吊装所用的绳索、钢丝等应满足最大吊装重量要求，拴结牢固；绳索、钢丝出现扭结、变形、断丝等异常现象，应及时降低使用标准或报废处理。凡涉及安全作业任务，本公司均委派专人担任安全监督员，非专业人士不得指派；紧急情况下无人指派安全监督员的，按照现场职务最高、工龄最长、年龄最长的顺序自动产生安全监督员。</w:t>
      </w:r>
    </w:p>
    <w:p w14:paraId="7542D052">
      <w:pPr>
        <w:adjustRightInd w:val="0"/>
        <w:spacing w:line="360" w:lineRule="auto"/>
        <w:rPr>
          <w:szCs w:val="21"/>
        </w:rPr>
      </w:pPr>
      <w:r>
        <w:rPr>
          <w:rFonts w:hint="eastAsia"/>
          <w:szCs w:val="21"/>
        </w:rPr>
        <w:t>（二）业务开展中</w:t>
      </w:r>
    </w:p>
    <w:p w14:paraId="6FE06E12">
      <w:pPr>
        <w:adjustRightInd w:val="0"/>
        <w:spacing w:line="360" w:lineRule="auto"/>
        <w:rPr>
          <w:szCs w:val="21"/>
        </w:rPr>
      </w:pPr>
      <w:r>
        <w:rPr>
          <w:rFonts w:hint="eastAsia"/>
          <w:szCs w:val="21"/>
        </w:rPr>
        <w:t>1、在业务开展过程中，应采取有效措施对现场的财物进行保护，如造成损失的，由本公司负责赔偿。</w:t>
      </w:r>
    </w:p>
    <w:p w14:paraId="1D5D735A">
      <w:pPr>
        <w:adjustRightInd w:val="0"/>
        <w:spacing w:line="360" w:lineRule="auto"/>
        <w:rPr>
          <w:szCs w:val="21"/>
        </w:rPr>
      </w:pPr>
      <w:r>
        <w:rPr>
          <w:rFonts w:hint="eastAsia"/>
          <w:szCs w:val="21"/>
        </w:rPr>
        <w:t>2、高空作业：高处作业人员必须系安全带、拴安全钩、戴安全帽、穿胶鞋；安全带在使用时应高挂低用，不得低挂高用。安全带活卡子应系紧，腰带系在皮带内，否则禁止使用；本公司现场监督人员应特别注意可能对安全绳、安全钩等造成磨损、阻碍的尖锐物；遇有风力在五级以上、雷电、暴雨、大雾等恶劣天气时必须停止高处作业。</w:t>
      </w:r>
    </w:p>
    <w:p w14:paraId="36A756DF">
      <w:pPr>
        <w:adjustRightInd w:val="0"/>
        <w:spacing w:line="360" w:lineRule="auto"/>
        <w:rPr>
          <w:szCs w:val="21"/>
        </w:rPr>
      </w:pPr>
      <w:r>
        <w:rPr>
          <w:rFonts w:hint="eastAsia"/>
          <w:szCs w:val="21"/>
        </w:rPr>
        <w:t>3、悬挂作业：遭遇暴雨、雷电、大雾、六级及以上大风天气及照度不够时，应停止施工；悬挂作业过程中，本公司现场必须在上、下位置，各设置一名安全监护员；吊装重物时，严禁超载吊装；禁止人员随吊装物一起吊或在起重臂、吊物下面停留和行走；应吊离地面1米以内，确认牢固后再匀速起吊；进入作业区域时，必须佩戴安全帽。</w:t>
      </w:r>
    </w:p>
    <w:p w14:paraId="6B960310">
      <w:pPr>
        <w:adjustRightInd w:val="0"/>
        <w:spacing w:line="360" w:lineRule="auto"/>
        <w:rPr>
          <w:szCs w:val="21"/>
        </w:rPr>
      </w:pPr>
      <w:r>
        <w:rPr>
          <w:rFonts w:hint="eastAsia"/>
          <w:szCs w:val="21"/>
        </w:rPr>
        <w:t>（三）业务开展后</w:t>
      </w:r>
    </w:p>
    <w:p w14:paraId="71B56803">
      <w:pPr>
        <w:adjustRightInd w:val="0"/>
        <w:spacing w:line="360" w:lineRule="auto"/>
        <w:rPr>
          <w:szCs w:val="21"/>
        </w:rPr>
      </w:pPr>
      <w:r>
        <w:rPr>
          <w:rFonts w:hint="eastAsia"/>
          <w:szCs w:val="21"/>
        </w:rPr>
        <w:t>1、现场清理：业务开展过程中产生的垃圾，有本公司负责清理并运走，如受客观因素难以做到每天清理的，应事先报请贵公司现场负责人确认同意，并对现场进行围挡、提示。</w:t>
      </w:r>
    </w:p>
    <w:p w14:paraId="3564A371">
      <w:pPr>
        <w:adjustRightInd w:val="0"/>
        <w:spacing w:line="360" w:lineRule="auto"/>
        <w:rPr>
          <w:szCs w:val="21"/>
        </w:rPr>
      </w:pPr>
      <w:r>
        <w:rPr>
          <w:rFonts w:hint="eastAsia"/>
          <w:szCs w:val="21"/>
        </w:rPr>
        <w:t>2、本公司在垃圾清运过程中应打包（确保垃圾不散落），避免在此过程中对环境造成二次污染。如造成污染的，应及时清理。</w:t>
      </w:r>
    </w:p>
    <w:p w14:paraId="4A2A9559">
      <w:pPr>
        <w:adjustRightInd w:val="0"/>
        <w:spacing w:line="360" w:lineRule="auto"/>
        <w:rPr>
          <w:szCs w:val="21"/>
        </w:rPr>
      </w:pPr>
      <w:r>
        <w:rPr>
          <w:rFonts w:hint="eastAsia"/>
          <w:szCs w:val="21"/>
        </w:rPr>
        <w:t>（四）责任承担</w:t>
      </w:r>
    </w:p>
    <w:p w14:paraId="47A77554">
      <w:pPr>
        <w:adjustRightInd w:val="0"/>
        <w:spacing w:line="360" w:lineRule="auto"/>
        <w:rPr>
          <w:szCs w:val="21"/>
        </w:rPr>
      </w:pPr>
      <w:r>
        <w:rPr>
          <w:rFonts w:hint="eastAsia"/>
          <w:szCs w:val="21"/>
        </w:rPr>
        <w:t>1、如由于作业的项目或者提供的产品、服务、项目、设备、设施等因质量原因或违反安全规定和行业安全标准所造成的所有事故（含本公司人员人身、财产损害），由本公司承担全部法律责任，并承担由此造成的一切经济损失；如对第三人造成损害或者造成自身损害的，由本公司自行承担全部法律责任。因本公司的原因给贵公司造成损失的，由我公司承担赔偿责任。</w:t>
      </w:r>
    </w:p>
    <w:p w14:paraId="06566BB4">
      <w:pPr>
        <w:adjustRightInd w:val="0"/>
        <w:spacing w:line="360" w:lineRule="auto"/>
        <w:rPr>
          <w:rFonts w:hint="eastAsia"/>
          <w:szCs w:val="21"/>
        </w:rPr>
      </w:pPr>
      <w:r>
        <w:rPr>
          <w:rFonts w:hint="eastAsia"/>
          <w:szCs w:val="21"/>
        </w:rPr>
        <w:t>2、本承诺书自本公司盖章或者法定代表人、代理人签字之日起生效。</w:t>
      </w:r>
    </w:p>
    <w:p w14:paraId="624CCAF6">
      <w:pPr>
        <w:adjustRightInd w:val="0"/>
        <w:spacing w:line="360" w:lineRule="auto"/>
        <w:rPr>
          <w:rFonts w:hint="eastAsia"/>
          <w:szCs w:val="21"/>
        </w:rPr>
      </w:pPr>
    </w:p>
    <w:p w14:paraId="550BFDEA">
      <w:pPr>
        <w:adjustRightInd w:val="0"/>
        <w:spacing w:line="360" w:lineRule="auto"/>
        <w:rPr>
          <w:rFonts w:hint="eastAsia"/>
          <w:szCs w:val="21"/>
        </w:rPr>
      </w:pPr>
    </w:p>
    <w:p w14:paraId="52F60FAD">
      <w:pPr>
        <w:adjustRightInd w:val="0"/>
        <w:spacing w:line="360" w:lineRule="auto"/>
        <w:rPr>
          <w:szCs w:val="21"/>
        </w:rPr>
      </w:pPr>
    </w:p>
    <w:p w14:paraId="39558C21">
      <w:pPr>
        <w:adjustRightInd w:val="0"/>
        <w:spacing w:line="360" w:lineRule="auto"/>
        <w:jc w:val="center"/>
        <w:rPr>
          <w:szCs w:val="21"/>
        </w:rPr>
      </w:pPr>
      <w:r>
        <w:rPr>
          <w:rFonts w:hint="eastAsia"/>
          <w:szCs w:val="21"/>
        </w:rPr>
        <w:t xml:space="preserve">                                                        承诺人：</w:t>
      </w:r>
    </w:p>
    <w:p w14:paraId="5EA72B22">
      <w:pPr>
        <w:adjustRightInd w:val="0"/>
        <w:spacing w:line="360" w:lineRule="auto"/>
        <w:jc w:val="right"/>
        <w:rPr>
          <w:szCs w:val="21"/>
        </w:rPr>
      </w:pPr>
      <w:r>
        <w:rPr>
          <w:rFonts w:hint="eastAsia"/>
          <w:szCs w:val="21"/>
        </w:rPr>
        <w:t xml:space="preserve">      年      月      日</w:t>
      </w:r>
    </w:p>
    <w:p w14:paraId="18E0D3CB">
      <w:pPr>
        <w:pStyle w:val="3"/>
        <w:spacing w:before="0" w:after="0" w:line="360" w:lineRule="auto"/>
        <w:ind w:firstLine="0" w:firstLineChars="0"/>
        <w:jc w:val="center"/>
        <w:rPr>
          <w:rFonts w:hint="eastAsia" w:ascii="方正小标宋_GBK" w:hAnsi="宋体" w:eastAsia="方正小标宋_GBK"/>
          <w:b w:val="0"/>
          <w:sz w:val="36"/>
          <w:szCs w:val="30"/>
        </w:rPr>
      </w:pPr>
      <w:r>
        <w:rPr>
          <w:rFonts w:hint="eastAsia" w:ascii="方正小标宋_GBK" w:hAnsi="宋体" w:eastAsia="方正小标宋_GBK"/>
          <w:b w:val="0"/>
          <w:sz w:val="36"/>
          <w:szCs w:val="30"/>
        </w:rPr>
        <w:br w:type="page"/>
      </w:r>
      <w:r>
        <w:rPr>
          <w:rFonts w:hint="eastAsia" w:ascii="方正小标宋_GBK" w:hAnsi="宋体" w:eastAsia="方正小标宋_GBK"/>
          <w:b w:val="0"/>
          <w:sz w:val="36"/>
          <w:szCs w:val="30"/>
        </w:rPr>
        <w:t>第七篇  竞选文件编制要求</w:t>
      </w:r>
      <w:bookmarkEnd w:id="93"/>
      <w:bookmarkEnd w:id="94"/>
    </w:p>
    <w:p w14:paraId="7A5DB30B">
      <w:pPr>
        <w:rPr>
          <w:rFonts w:hint="eastAsia" w:ascii="方正仿宋_GBK" w:hAnsi="宋体"/>
        </w:rPr>
      </w:pPr>
      <w:r>
        <w:rPr>
          <w:rFonts w:hint="eastAsia" w:ascii="方正仿宋_GBK" w:hAnsi="宋体"/>
        </w:rPr>
        <w:t>一、经济部分</w:t>
      </w:r>
    </w:p>
    <w:p w14:paraId="2EF5C871">
      <w:pPr>
        <w:rPr>
          <w:rFonts w:hint="eastAsia" w:ascii="方正仿宋_GBK" w:hAnsi="宋体"/>
        </w:rPr>
      </w:pPr>
      <w:r>
        <w:rPr>
          <w:rFonts w:hint="eastAsia" w:ascii="方正仿宋_GBK" w:hAnsi="宋体"/>
        </w:rPr>
        <w:t>（一）报价函</w:t>
      </w:r>
    </w:p>
    <w:p w14:paraId="1518B80B">
      <w:pPr>
        <w:rPr>
          <w:rFonts w:hint="eastAsia" w:ascii="方正仿宋_GBK" w:hAnsi="宋体"/>
        </w:rPr>
      </w:pPr>
      <w:r>
        <w:rPr>
          <w:rFonts w:hint="eastAsia" w:ascii="方正仿宋_GBK" w:hAnsi="宋体"/>
        </w:rPr>
        <w:t>二、服务部分</w:t>
      </w:r>
    </w:p>
    <w:p w14:paraId="727576D6">
      <w:pPr>
        <w:rPr>
          <w:rFonts w:hint="eastAsia" w:ascii="方正仿宋_GBK" w:hAnsi="宋体"/>
        </w:rPr>
      </w:pPr>
      <w:r>
        <w:rPr>
          <w:rFonts w:hint="eastAsia" w:ascii="方正仿宋_GBK" w:hAnsi="宋体"/>
        </w:rPr>
        <w:t>（一）服务响应偏离表</w:t>
      </w:r>
    </w:p>
    <w:p w14:paraId="153389BD">
      <w:pPr>
        <w:rPr>
          <w:rFonts w:hint="eastAsia" w:ascii="方正仿宋_GBK" w:hAnsi="宋体"/>
        </w:rPr>
      </w:pPr>
      <w:r>
        <w:rPr>
          <w:rFonts w:hint="eastAsia" w:ascii="方正仿宋_GBK" w:hAnsi="宋体"/>
        </w:rPr>
        <w:t>（二）其他资料（格式自定）</w:t>
      </w:r>
    </w:p>
    <w:p w14:paraId="5D464F57">
      <w:pPr>
        <w:rPr>
          <w:rFonts w:hint="eastAsia" w:ascii="方正仿宋_GBK" w:hAnsi="宋体"/>
        </w:rPr>
      </w:pPr>
      <w:r>
        <w:rPr>
          <w:rFonts w:hint="eastAsia" w:ascii="方正仿宋_GBK" w:hAnsi="宋体"/>
        </w:rPr>
        <w:t>三、商务部分</w:t>
      </w:r>
    </w:p>
    <w:p w14:paraId="711C07F1">
      <w:pPr>
        <w:rPr>
          <w:rFonts w:hint="eastAsia" w:ascii="方正仿宋_GBK" w:hAnsi="宋体"/>
        </w:rPr>
      </w:pPr>
      <w:r>
        <w:rPr>
          <w:rFonts w:hint="eastAsia" w:ascii="方正仿宋_GBK" w:hAnsi="宋体"/>
        </w:rPr>
        <w:t>（一）商务响应偏离表</w:t>
      </w:r>
    </w:p>
    <w:p w14:paraId="53BBB847">
      <w:pPr>
        <w:rPr>
          <w:rFonts w:hint="eastAsia" w:ascii="方正仿宋_GBK" w:hAnsi="宋体"/>
        </w:rPr>
      </w:pPr>
      <w:r>
        <w:rPr>
          <w:rFonts w:hint="eastAsia" w:ascii="方正仿宋_GBK" w:hAnsi="宋体"/>
        </w:rPr>
        <w:t>（二）其它优惠服务承诺（格式自定）</w:t>
      </w:r>
    </w:p>
    <w:p w14:paraId="39B74129">
      <w:pPr>
        <w:rPr>
          <w:rFonts w:hint="eastAsia" w:ascii="方正仿宋_GBK" w:hAnsi="宋体"/>
        </w:rPr>
      </w:pPr>
      <w:r>
        <w:rPr>
          <w:rFonts w:hint="eastAsia" w:ascii="方正仿宋_GBK" w:hAnsi="宋体"/>
        </w:rPr>
        <w:t>四、资格条件及其他</w:t>
      </w:r>
    </w:p>
    <w:p w14:paraId="22664BA5">
      <w:pPr>
        <w:rPr>
          <w:rFonts w:hint="eastAsia" w:ascii="方正仿宋_GBK" w:hAnsi="宋体"/>
        </w:rPr>
      </w:pPr>
      <w:r>
        <w:rPr>
          <w:rFonts w:hint="eastAsia" w:ascii="方正仿宋_GBK" w:hAnsi="宋体"/>
        </w:rPr>
        <w:t>（一）法人营业执照（副本）或事业单位法人证书（副本）</w:t>
      </w:r>
    </w:p>
    <w:p w14:paraId="4EF21E63">
      <w:pPr>
        <w:rPr>
          <w:rFonts w:hint="eastAsia" w:ascii="方正仿宋_GBK" w:hAnsi="宋体"/>
        </w:rPr>
      </w:pPr>
      <w:r>
        <w:rPr>
          <w:rFonts w:hint="eastAsia" w:ascii="方正仿宋_GBK" w:hAnsi="宋体"/>
        </w:rPr>
        <w:t>（二）法定代表人（负责人）身份证明书（格式）</w:t>
      </w:r>
    </w:p>
    <w:p w14:paraId="064972F6">
      <w:pPr>
        <w:rPr>
          <w:rFonts w:hint="eastAsia" w:ascii="方正仿宋_GBK" w:hAnsi="宋体"/>
        </w:rPr>
      </w:pPr>
      <w:r>
        <w:rPr>
          <w:rFonts w:hint="eastAsia" w:ascii="方正仿宋_GBK" w:hAnsi="宋体"/>
        </w:rPr>
        <w:t>（三）法定代表人（负责人）授权委托书（格式）</w:t>
      </w:r>
    </w:p>
    <w:p w14:paraId="56D9B847">
      <w:pPr>
        <w:rPr>
          <w:rFonts w:hint="eastAsia" w:ascii="方正仿宋_GBK" w:hAnsi="宋体"/>
        </w:rPr>
      </w:pPr>
      <w:r>
        <w:rPr>
          <w:rFonts w:hint="eastAsia" w:ascii="方正仿宋_GBK" w:hAnsi="宋体"/>
        </w:rPr>
        <w:t>（四）基本资格条件承诺函（格式）</w:t>
      </w:r>
    </w:p>
    <w:p w14:paraId="1BF76106">
      <w:pPr>
        <w:rPr>
          <w:rFonts w:hint="eastAsia" w:ascii="方正仿宋_GBK" w:hAnsi="宋体"/>
        </w:rPr>
      </w:pPr>
      <w:r>
        <w:rPr>
          <w:rFonts w:hint="eastAsia" w:ascii="方正仿宋_GBK" w:hAnsi="宋体"/>
        </w:rPr>
        <w:t>（五）特定资格条件证书或证明文件</w:t>
      </w:r>
    </w:p>
    <w:p w14:paraId="78462D10">
      <w:pPr>
        <w:rPr>
          <w:rFonts w:hint="eastAsia" w:ascii="方正仿宋_GBK" w:hAnsi="宋体"/>
        </w:rPr>
      </w:pPr>
      <w:r>
        <w:rPr>
          <w:rFonts w:hint="eastAsia" w:ascii="方正仿宋_GBK" w:hAnsi="宋体"/>
        </w:rPr>
        <w:t>五、其他资料</w:t>
      </w:r>
    </w:p>
    <w:p w14:paraId="048BCDC6">
      <w:pPr>
        <w:rPr>
          <w:rFonts w:hint="eastAsia" w:ascii="方正仿宋_GBK" w:hAnsi="宋体"/>
        </w:rPr>
      </w:pPr>
      <w:r>
        <w:rPr>
          <w:rFonts w:hint="eastAsia" w:ascii="方正仿宋_GBK" w:hAnsi="宋体"/>
        </w:rPr>
        <w:t>（一）其他与项目有关的资料</w:t>
      </w:r>
    </w:p>
    <w:p w14:paraId="0AB95DFB">
      <w:pPr>
        <w:spacing w:line="360" w:lineRule="auto"/>
        <w:rPr>
          <w:rFonts w:ascii="宋体" w:hAnsi="宋体"/>
          <w:bdr w:val="single" w:color="auto" w:sz="4" w:space="0"/>
        </w:rPr>
        <w:sectPr>
          <w:footerReference r:id="rId12" w:type="default"/>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p>
    <w:p w14:paraId="400EC9F1">
      <w:pPr>
        <w:pStyle w:val="3"/>
        <w:adjustRightInd w:val="0"/>
        <w:spacing w:before="0" w:after="0" w:line="400" w:lineRule="exact"/>
        <w:ind w:firstLine="482"/>
        <w:rPr>
          <w:rFonts w:hint="eastAsia" w:ascii="方正仿宋_GBK" w:hAnsi="宋体" w:eastAsia="方正仿宋_GBK"/>
          <w:sz w:val="24"/>
        </w:rPr>
      </w:pPr>
      <w:bookmarkStart w:id="95" w:name="_Toc76462350"/>
      <w:bookmarkStart w:id="96" w:name="_Toc342913419"/>
      <w:bookmarkStart w:id="97" w:name="_Toc313008356"/>
      <w:bookmarkStart w:id="98" w:name="_Toc15825"/>
      <w:bookmarkStart w:id="99" w:name="_Toc313888360"/>
      <w:bookmarkStart w:id="100" w:name="_Toc283382454"/>
      <w:bookmarkStart w:id="101" w:name="_Toc12789073"/>
      <w:r>
        <w:rPr>
          <w:rFonts w:hint="eastAsia" w:ascii="方正仿宋_GBK" w:hAnsi="宋体" w:eastAsia="方正仿宋_GBK"/>
          <w:sz w:val="24"/>
        </w:rPr>
        <w:t>一、经济部分</w:t>
      </w:r>
      <w:bookmarkEnd w:id="95"/>
      <w:bookmarkEnd w:id="96"/>
      <w:bookmarkEnd w:id="97"/>
      <w:bookmarkEnd w:id="98"/>
      <w:bookmarkEnd w:id="99"/>
    </w:p>
    <w:bookmarkEnd w:id="100"/>
    <w:bookmarkEnd w:id="101"/>
    <w:p w14:paraId="42817F9A">
      <w:pPr>
        <w:tabs>
          <w:tab w:val="left" w:pos="6300"/>
        </w:tabs>
        <w:spacing w:line="312" w:lineRule="auto"/>
        <w:rPr>
          <w:rFonts w:hint="eastAsia" w:ascii="方正仿宋_GBK" w:hAnsi="宋体"/>
        </w:rPr>
      </w:pPr>
      <w:r>
        <w:rPr>
          <w:rFonts w:hint="eastAsia" w:ascii="方正仿宋_GBK" w:hAnsi="宋体"/>
        </w:rPr>
        <w:t>（一）报价函</w:t>
      </w:r>
    </w:p>
    <w:p w14:paraId="54A39D32">
      <w:pPr>
        <w:ind w:firstLine="482"/>
        <w:jc w:val="center"/>
        <w:rPr>
          <w:rFonts w:hint="eastAsia" w:ascii="方正仿宋_GBK"/>
          <w:b/>
          <w:szCs w:val="28"/>
        </w:rPr>
      </w:pPr>
      <w:r>
        <w:rPr>
          <w:rFonts w:hint="eastAsia" w:ascii="方正仿宋_GBK"/>
          <w:b/>
          <w:szCs w:val="28"/>
        </w:rPr>
        <w:t>报价函</w:t>
      </w:r>
    </w:p>
    <w:p w14:paraId="1265457A">
      <w:pPr>
        <w:tabs>
          <w:tab w:val="left" w:pos="6300"/>
        </w:tabs>
        <w:spacing w:line="312" w:lineRule="auto"/>
        <w:rPr>
          <w:rFonts w:hint="eastAsia" w:ascii="方正仿宋_GBK" w:hAnsi="宋体"/>
        </w:rPr>
      </w:pPr>
      <w:r>
        <w:rPr>
          <w:rFonts w:hint="eastAsia" w:ascii="方正仿宋_GBK" w:hAnsi="宋体"/>
          <w:u w:val="single"/>
        </w:rPr>
        <w:t>（比选代理机构名称）</w:t>
      </w:r>
      <w:r>
        <w:rPr>
          <w:rFonts w:hint="eastAsia" w:ascii="方正仿宋_GBK" w:hAnsi="宋体"/>
        </w:rPr>
        <w:t>：</w:t>
      </w:r>
    </w:p>
    <w:p w14:paraId="558CC6A3">
      <w:pPr>
        <w:tabs>
          <w:tab w:val="left" w:pos="6300"/>
        </w:tabs>
        <w:spacing w:line="312" w:lineRule="auto"/>
        <w:rPr>
          <w:rFonts w:hint="eastAsia" w:ascii="方正仿宋_GBK" w:hAnsi="宋体"/>
        </w:rPr>
      </w:pPr>
      <w:r>
        <w:rPr>
          <w:rFonts w:hint="eastAsia" w:ascii="方正仿宋_GBK" w:hAnsi="宋体"/>
        </w:rPr>
        <w:t>我方收到____________________________（比选项目名称）的竞争性比选文件，经详细研究，决定参加该项目的比选。</w:t>
      </w:r>
    </w:p>
    <w:p w14:paraId="7F9FE618">
      <w:pPr>
        <w:tabs>
          <w:tab w:val="left" w:pos="6300"/>
        </w:tabs>
        <w:spacing w:line="312" w:lineRule="auto"/>
        <w:rPr>
          <w:rFonts w:ascii="方正仿宋_GBK" w:hAnsi="宋体"/>
          <w:b/>
          <w:bCs/>
        </w:rPr>
      </w:pPr>
      <w:r>
        <w:rPr>
          <w:rFonts w:hint="eastAsia" w:ascii="方正仿宋_GBK" w:hAnsi="宋体"/>
        </w:rPr>
        <w:t>1.愿意按照竞争性比选文件中的一切要求，提供本项目的服务，</w:t>
      </w:r>
      <w:r>
        <w:rPr>
          <w:rFonts w:hint="eastAsia" w:ascii="方正仿宋_GBK" w:hAnsi="宋体"/>
          <w:b/>
          <w:bCs/>
        </w:rPr>
        <w:t>竞选总报价为人民币大写：</w:t>
      </w:r>
      <w:r>
        <w:rPr>
          <w:rFonts w:hint="eastAsia" w:ascii="方正仿宋_GBK" w:hAnsi="宋体"/>
          <w:b/>
          <w:bCs/>
          <w:u w:val="single"/>
        </w:rPr>
        <w:t xml:space="preserve">      </w:t>
      </w:r>
      <w:r>
        <w:rPr>
          <w:rFonts w:hint="eastAsia" w:ascii="方正仿宋_GBK" w:hAnsi="宋体"/>
          <w:b/>
          <w:bCs/>
          <w:u w:val="single"/>
          <w:lang w:val="en-US" w:eastAsia="zh-CN"/>
        </w:rPr>
        <w:t xml:space="preserve">  </w:t>
      </w:r>
      <w:r>
        <w:rPr>
          <w:rFonts w:hint="eastAsia" w:ascii="方正仿宋_GBK" w:hAnsi="宋体"/>
          <w:b/>
          <w:bCs/>
        </w:rPr>
        <w:t>；人民币小写：</w:t>
      </w:r>
      <w:r>
        <w:rPr>
          <w:rFonts w:hint="eastAsia" w:ascii="方正仿宋_GBK" w:hAnsi="宋体"/>
          <w:b/>
          <w:bCs/>
          <w:u w:val="single"/>
        </w:rPr>
        <w:t xml:space="preserve">    </w:t>
      </w:r>
      <w:r>
        <w:rPr>
          <w:rFonts w:hint="eastAsia" w:ascii="方正仿宋_GBK" w:hAnsi="宋体"/>
          <w:b/>
          <w:bCs/>
        </w:rPr>
        <w:t>元</w:t>
      </w:r>
      <w:r>
        <w:rPr>
          <w:rFonts w:hint="eastAsia" w:ascii="方正仿宋_GBK" w:hAnsi="宋体"/>
          <w:b/>
          <w:bCs/>
          <w:lang w:val="en-US" w:eastAsia="zh-CN"/>
        </w:rPr>
        <w:t>/年</w:t>
      </w:r>
      <w:r>
        <w:rPr>
          <w:rFonts w:hint="eastAsia" w:ascii="方正仿宋_GBK" w:hAnsi="宋体"/>
          <w:b/>
          <w:bCs/>
        </w:rPr>
        <w:t>；税率：</w:t>
      </w:r>
      <w:r>
        <w:rPr>
          <w:rFonts w:hint="eastAsia" w:ascii="方正仿宋_GBK" w:hAnsi="宋体"/>
          <w:b/>
          <w:bCs/>
          <w:u w:val="single"/>
        </w:rPr>
        <w:t xml:space="preserve">    </w:t>
      </w:r>
      <w:r>
        <w:rPr>
          <w:rFonts w:hint="eastAsia" w:ascii="方正仿宋_GBK" w:hAnsi="宋体"/>
          <w:b/>
          <w:bCs/>
        </w:rPr>
        <w:t>%。</w:t>
      </w:r>
    </w:p>
    <w:p w14:paraId="18CBD2D8">
      <w:pPr>
        <w:tabs>
          <w:tab w:val="left" w:pos="6300"/>
        </w:tabs>
        <w:spacing w:line="312" w:lineRule="auto"/>
        <w:rPr>
          <w:rFonts w:hint="eastAsia" w:ascii="方正仿宋_GBK" w:hAnsi="宋体"/>
        </w:rPr>
      </w:pPr>
      <w:r>
        <w:rPr>
          <w:rFonts w:hint="eastAsia" w:ascii="方正仿宋_GBK" w:hAnsi="宋体"/>
        </w:rPr>
        <w:t>2.我方现提交的竞选文件为：竞选文件正本</w:t>
      </w:r>
      <w:r>
        <w:rPr>
          <w:rFonts w:hint="eastAsia" w:ascii="方正仿宋_GBK" w:hAnsi="宋体"/>
          <w:u w:val="single"/>
        </w:rPr>
        <w:t xml:space="preserve">   </w:t>
      </w:r>
      <w:r>
        <w:rPr>
          <w:rFonts w:hint="eastAsia" w:ascii="方正仿宋_GBK" w:hAnsi="宋体"/>
        </w:rPr>
        <w:t>份，副本</w:t>
      </w:r>
      <w:r>
        <w:rPr>
          <w:rFonts w:hint="eastAsia" w:ascii="方正仿宋_GBK" w:hAnsi="宋体"/>
          <w:u w:val="single"/>
        </w:rPr>
        <w:t xml:space="preserve">   </w:t>
      </w:r>
      <w:r>
        <w:rPr>
          <w:rFonts w:hint="eastAsia" w:ascii="方正仿宋_GBK" w:hAnsi="宋体"/>
        </w:rPr>
        <w:t>份，电子文档</w:t>
      </w:r>
      <w:r>
        <w:rPr>
          <w:rFonts w:hint="eastAsia" w:ascii="方正仿宋_GBK" w:hAnsi="宋体"/>
          <w:u w:val="single"/>
        </w:rPr>
        <w:t xml:space="preserve">   </w:t>
      </w:r>
      <w:r>
        <w:rPr>
          <w:rFonts w:hint="eastAsia" w:ascii="方正仿宋_GBK" w:hAnsi="宋体"/>
        </w:rPr>
        <w:t>份。</w:t>
      </w:r>
    </w:p>
    <w:p w14:paraId="3A5815FF">
      <w:pPr>
        <w:tabs>
          <w:tab w:val="left" w:pos="6300"/>
        </w:tabs>
        <w:spacing w:line="312" w:lineRule="auto"/>
        <w:rPr>
          <w:rFonts w:hint="eastAsia" w:ascii="方正仿宋_GBK" w:hAnsi="宋体"/>
        </w:rPr>
      </w:pPr>
      <w:r>
        <w:rPr>
          <w:rFonts w:hint="eastAsia" w:ascii="方正仿宋_GBK" w:hAnsi="宋体"/>
        </w:rPr>
        <w:t>3.我方承诺：本次比选的有效期为提交竞选文件截止时间起90天。</w:t>
      </w:r>
    </w:p>
    <w:p w14:paraId="49D93F77">
      <w:pPr>
        <w:tabs>
          <w:tab w:val="left" w:pos="6300"/>
        </w:tabs>
        <w:spacing w:line="312" w:lineRule="auto"/>
        <w:rPr>
          <w:rFonts w:hint="eastAsia" w:ascii="方正仿宋_GBK" w:hAnsi="宋体"/>
        </w:rPr>
      </w:pPr>
      <w:r>
        <w:rPr>
          <w:rFonts w:hint="eastAsia" w:ascii="方正仿宋_GBK" w:hAnsi="宋体"/>
        </w:rPr>
        <w:t>4.我方完全理解和接受贵方竞争性比选文件的一切规定和要求及评审办法。</w:t>
      </w:r>
    </w:p>
    <w:p w14:paraId="41D09D36">
      <w:pPr>
        <w:tabs>
          <w:tab w:val="left" w:pos="6300"/>
        </w:tabs>
        <w:spacing w:line="312" w:lineRule="auto"/>
        <w:rPr>
          <w:rFonts w:hint="eastAsia" w:ascii="方正仿宋_GBK" w:hAnsi="宋体"/>
        </w:rPr>
      </w:pPr>
      <w:r>
        <w:rPr>
          <w:rFonts w:hint="eastAsia" w:ascii="方正仿宋_GBK" w:hAnsi="宋体"/>
        </w:rPr>
        <w:t>5.在整个竞争性比选过程中，我方若有违规行为，接受按照《竞争性比选文件》之规定给予惩罚。</w:t>
      </w:r>
    </w:p>
    <w:p w14:paraId="305D5650">
      <w:pPr>
        <w:tabs>
          <w:tab w:val="left" w:pos="6300"/>
        </w:tabs>
        <w:spacing w:line="312" w:lineRule="auto"/>
        <w:rPr>
          <w:rFonts w:hint="eastAsia" w:ascii="方正仿宋_GBK" w:hAnsi="宋体"/>
        </w:rPr>
      </w:pPr>
      <w:r>
        <w:rPr>
          <w:rFonts w:hint="eastAsia" w:ascii="方正仿宋_GBK" w:hAnsi="宋体"/>
        </w:rPr>
        <w:t>6.我方若成为中选人，将按照最终比选结果签订合同，并且严格履行合同义务。本承诺函将成为合同不可分割的一部分，与合同具有同等的法律效力。</w:t>
      </w:r>
    </w:p>
    <w:p w14:paraId="2C4F7277">
      <w:pPr>
        <w:tabs>
          <w:tab w:val="left" w:pos="6300"/>
        </w:tabs>
        <w:spacing w:line="312" w:lineRule="auto"/>
        <w:rPr>
          <w:rFonts w:hint="eastAsia" w:ascii="方正仿宋_GBK" w:hAnsi="宋体"/>
        </w:rPr>
      </w:pPr>
      <w:r>
        <w:rPr>
          <w:rFonts w:hint="eastAsia" w:ascii="方正仿宋_GBK" w:hAnsi="宋体"/>
        </w:rPr>
        <w:t>7.如果我方成为中选人，保证在接到成交通知书后，向比选代理机构缴纳竞争性比选文件规定的比选代理服务费。</w:t>
      </w:r>
    </w:p>
    <w:p w14:paraId="4592A30D">
      <w:pPr>
        <w:tabs>
          <w:tab w:val="left" w:pos="6300"/>
        </w:tabs>
        <w:spacing w:line="312" w:lineRule="auto"/>
        <w:rPr>
          <w:rFonts w:hint="eastAsia" w:ascii="方正仿宋_GBK" w:hAnsi="宋体"/>
        </w:rPr>
      </w:pPr>
    </w:p>
    <w:p w14:paraId="29E76F47">
      <w:pPr>
        <w:tabs>
          <w:tab w:val="left" w:pos="6300"/>
        </w:tabs>
        <w:spacing w:line="312" w:lineRule="auto"/>
        <w:rPr>
          <w:rFonts w:hint="eastAsia" w:ascii="方正仿宋_GBK" w:hAnsi="宋体"/>
        </w:rPr>
      </w:pPr>
      <w:r>
        <w:rPr>
          <w:rFonts w:hint="eastAsia" w:ascii="方正仿宋_GBK" w:hAnsi="宋体"/>
        </w:rPr>
        <w:t>竞选人（公章）或自然人签署：</w:t>
      </w:r>
    </w:p>
    <w:p w14:paraId="02306A1D">
      <w:pPr>
        <w:tabs>
          <w:tab w:val="left" w:pos="6300"/>
        </w:tabs>
        <w:spacing w:line="312" w:lineRule="auto"/>
        <w:rPr>
          <w:rFonts w:hint="eastAsia" w:ascii="方正仿宋_GBK" w:hAnsi="宋体"/>
        </w:rPr>
      </w:pPr>
      <w:r>
        <w:rPr>
          <w:rFonts w:hint="eastAsia" w:ascii="方正仿宋_GBK" w:hAnsi="宋体"/>
        </w:rPr>
        <w:t xml:space="preserve">地址：  </w:t>
      </w:r>
    </w:p>
    <w:p w14:paraId="367C20CC">
      <w:pPr>
        <w:tabs>
          <w:tab w:val="left" w:pos="6300"/>
        </w:tabs>
        <w:spacing w:line="312" w:lineRule="auto"/>
        <w:rPr>
          <w:rFonts w:hint="eastAsia" w:ascii="方正仿宋_GBK" w:hAnsi="宋体"/>
        </w:rPr>
      </w:pPr>
      <w:r>
        <w:rPr>
          <w:rFonts w:hint="eastAsia" w:ascii="方正仿宋_GBK" w:hAnsi="宋体"/>
        </w:rPr>
        <w:t>电话：                                             传真：</w:t>
      </w:r>
    </w:p>
    <w:p w14:paraId="0310DE8A">
      <w:pPr>
        <w:tabs>
          <w:tab w:val="left" w:pos="6300"/>
        </w:tabs>
        <w:spacing w:line="312" w:lineRule="auto"/>
        <w:rPr>
          <w:rFonts w:hint="eastAsia" w:ascii="方正仿宋_GBK" w:hAnsi="宋体"/>
        </w:rPr>
      </w:pPr>
      <w:r>
        <w:rPr>
          <w:rFonts w:hint="eastAsia" w:ascii="方正仿宋_GBK" w:hAnsi="宋体"/>
        </w:rPr>
        <w:t>网址：                                             邮编：</w:t>
      </w:r>
    </w:p>
    <w:p w14:paraId="2FBEDDFA">
      <w:pPr>
        <w:tabs>
          <w:tab w:val="left" w:pos="6300"/>
        </w:tabs>
        <w:spacing w:line="312" w:lineRule="auto"/>
        <w:rPr>
          <w:rFonts w:hint="eastAsia" w:ascii="方正仿宋_GBK" w:hAnsi="宋体"/>
        </w:rPr>
      </w:pPr>
      <w:r>
        <w:rPr>
          <w:rFonts w:hint="eastAsia" w:ascii="方正仿宋_GBK" w:hAnsi="宋体"/>
        </w:rPr>
        <w:t>联系人：</w:t>
      </w:r>
    </w:p>
    <w:p w14:paraId="7AAC610C">
      <w:pPr>
        <w:spacing w:line="312" w:lineRule="auto"/>
        <w:rPr>
          <w:rFonts w:hint="eastAsia" w:ascii="方正仿宋_GBK" w:hAnsi="宋体"/>
        </w:rPr>
        <w:sectPr>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r>
        <w:rPr>
          <w:rFonts w:hint="eastAsia" w:ascii="方正仿宋_GBK" w:hAnsi="宋体"/>
        </w:rPr>
        <w:t xml:space="preserve">                                                  年   月   日</w:t>
      </w:r>
    </w:p>
    <w:tbl>
      <w:tblPr>
        <w:tblStyle w:val="58"/>
        <w:tblW w:w="10275" w:type="dxa"/>
        <w:tblInd w:w="-4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1875"/>
        <w:gridCol w:w="765"/>
        <w:gridCol w:w="975"/>
        <w:gridCol w:w="1020"/>
        <w:gridCol w:w="1410"/>
        <w:gridCol w:w="1500"/>
        <w:gridCol w:w="2145"/>
      </w:tblGrid>
      <w:tr w14:paraId="0F71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75" w:type="dxa"/>
            <w:gridSpan w:val="8"/>
            <w:noWrap w:val="0"/>
            <w:vAlign w:val="top"/>
          </w:tcPr>
          <w:p w14:paraId="39901F8B">
            <w:pPr>
              <w:spacing w:line="240" w:lineRule="auto"/>
              <w:ind w:firstLine="0" w:firstLineChars="0"/>
              <w:jc w:val="center"/>
              <w:rPr>
                <w:rFonts w:hint="eastAsia" w:ascii="仿宋" w:hAnsi="仿宋" w:eastAsia="仿宋" w:cs="仿宋"/>
                <w:b/>
                <w:bCs/>
                <w:color w:val="000000"/>
                <w:kern w:val="0"/>
                <w:sz w:val="21"/>
                <w:szCs w:val="21"/>
                <w:lang w:bidi="ar"/>
              </w:rPr>
            </w:pPr>
            <w:bookmarkStart w:id="102" w:name="_Toc22307"/>
            <w:bookmarkStart w:id="103" w:name="_Toc313008357"/>
            <w:bookmarkStart w:id="104" w:name="_Toc313888361"/>
            <w:bookmarkStart w:id="105" w:name="_Toc342913420"/>
            <w:bookmarkStart w:id="106" w:name="_Toc76462351"/>
            <w:r>
              <w:rPr>
                <w:rFonts w:hint="eastAsia" w:ascii="仿宋" w:hAnsi="仿宋" w:eastAsia="仿宋" w:cs="仿宋"/>
                <w:b/>
                <w:bCs/>
                <w:color w:val="000000"/>
                <w:kern w:val="0"/>
                <w:sz w:val="21"/>
                <w:szCs w:val="21"/>
                <w:lang w:val="en-US" w:eastAsia="zh-CN" w:bidi="ar"/>
              </w:rPr>
              <w:t>报价</w:t>
            </w:r>
            <w:r>
              <w:rPr>
                <w:rFonts w:hint="eastAsia" w:ascii="仿宋" w:hAnsi="仿宋" w:eastAsia="仿宋" w:cs="仿宋"/>
                <w:b/>
                <w:bCs/>
                <w:color w:val="000000"/>
                <w:kern w:val="0"/>
                <w:sz w:val="21"/>
                <w:szCs w:val="21"/>
                <w:lang w:bidi="ar"/>
              </w:rPr>
              <w:t>明细表</w:t>
            </w:r>
          </w:p>
        </w:tc>
      </w:tr>
      <w:tr w14:paraId="74F9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dxa"/>
            <w:vMerge w:val="restart"/>
            <w:noWrap w:val="0"/>
            <w:vAlign w:val="center"/>
          </w:tcPr>
          <w:p w14:paraId="424F20B6">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序号</w:t>
            </w:r>
          </w:p>
        </w:tc>
        <w:tc>
          <w:tcPr>
            <w:tcW w:w="1875" w:type="dxa"/>
            <w:vMerge w:val="restart"/>
            <w:noWrap w:val="0"/>
            <w:vAlign w:val="center"/>
          </w:tcPr>
          <w:p w14:paraId="648A43E3">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服务地点</w:t>
            </w:r>
          </w:p>
        </w:tc>
        <w:tc>
          <w:tcPr>
            <w:tcW w:w="2760" w:type="dxa"/>
            <w:gridSpan w:val="3"/>
            <w:noWrap w:val="0"/>
            <w:vAlign w:val="center"/>
          </w:tcPr>
          <w:p w14:paraId="34B3CE35">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需求人数（含替休）</w:t>
            </w:r>
          </w:p>
        </w:tc>
        <w:tc>
          <w:tcPr>
            <w:tcW w:w="1410" w:type="dxa"/>
            <w:vMerge w:val="restart"/>
            <w:noWrap w:val="0"/>
            <w:vAlign w:val="center"/>
          </w:tcPr>
          <w:p w14:paraId="7FC14A20">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单价控制价（元/月）</w:t>
            </w:r>
          </w:p>
        </w:tc>
        <w:tc>
          <w:tcPr>
            <w:tcW w:w="1500" w:type="dxa"/>
            <w:vMerge w:val="restart"/>
            <w:noWrap w:val="0"/>
            <w:vAlign w:val="center"/>
          </w:tcPr>
          <w:p w14:paraId="06AD908E">
            <w:pPr>
              <w:spacing w:line="240" w:lineRule="auto"/>
              <w:ind w:firstLine="0" w:firstLineChars="0"/>
              <w:jc w:val="center"/>
              <w:rPr>
                <w:rFonts w:hint="eastAsia" w:ascii="仿宋" w:hAnsi="仿宋" w:eastAsia="仿宋" w:cs="仿宋"/>
                <w:sz w:val="21"/>
                <w:szCs w:val="21"/>
              </w:rPr>
            </w:pPr>
            <w:r>
              <w:rPr>
                <w:rFonts w:hint="eastAsia" w:ascii="仿宋" w:hAnsi="仿宋" w:eastAsia="仿宋" w:cs="仿宋"/>
                <w:b/>
                <w:bCs/>
                <w:color w:val="000000"/>
                <w:kern w:val="0"/>
                <w:sz w:val="21"/>
                <w:szCs w:val="21"/>
                <w:lang w:bidi="ar"/>
              </w:rPr>
              <w:t>年度控制价（元/年）</w:t>
            </w:r>
          </w:p>
        </w:tc>
        <w:tc>
          <w:tcPr>
            <w:tcW w:w="2145" w:type="dxa"/>
            <w:vMerge w:val="restart"/>
            <w:noWrap w:val="0"/>
            <w:vAlign w:val="center"/>
          </w:tcPr>
          <w:p w14:paraId="0130C7B9">
            <w:pPr>
              <w:spacing w:line="240" w:lineRule="auto"/>
              <w:ind w:firstLine="0" w:firstLineChars="0"/>
              <w:jc w:val="center"/>
              <w:rPr>
                <w:rFonts w:hint="eastAsia" w:ascii="仿宋" w:hAnsi="仿宋" w:eastAsia="仿宋" w:cs="仿宋"/>
                <w:b/>
                <w:bCs/>
                <w:color w:val="000000"/>
                <w:kern w:val="0"/>
                <w:sz w:val="21"/>
                <w:szCs w:val="21"/>
                <w:lang w:bidi="ar"/>
              </w:rPr>
            </w:pPr>
            <w:r>
              <w:rPr>
                <w:rFonts w:hint="eastAsia" w:ascii="仿宋" w:hAnsi="仿宋" w:eastAsia="仿宋" w:cs="仿宋"/>
                <w:b/>
                <w:bCs/>
                <w:color w:val="000000"/>
                <w:kern w:val="0"/>
                <w:sz w:val="21"/>
                <w:szCs w:val="21"/>
                <w:lang w:bidi="ar"/>
              </w:rPr>
              <w:t>备注</w:t>
            </w:r>
          </w:p>
        </w:tc>
      </w:tr>
      <w:tr w14:paraId="3D89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85" w:type="dxa"/>
            <w:vMerge w:val="continue"/>
            <w:noWrap w:val="0"/>
            <w:vAlign w:val="top"/>
          </w:tcPr>
          <w:p w14:paraId="18151F15">
            <w:pPr>
              <w:spacing w:line="240" w:lineRule="auto"/>
              <w:ind w:firstLine="0" w:firstLineChars="0"/>
              <w:rPr>
                <w:rFonts w:hint="eastAsia" w:ascii="仿宋" w:hAnsi="仿宋" w:eastAsia="仿宋" w:cs="仿宋"/>
              </w:rPr>
            </w:pPr>
          </w:p>
        </w:tc>
        <w:tc>
          <w:tcPr>
            <w:tcW w:w="1875" w:type="dxa"/>
            <w:vMerge w:val="continue"/>
            <w:noWrap w:val="0"/>
            <w:vAlign w:val="center"/>
          </w:tcPr>
          <w:p w14:paraId="12D6436F">
            <w:pPr>
              <w:spacing w:line="240" w:lineRule="auto"/>
              <w:ind w:firstLine="0" w:firstLineChars="0"/>
              <w:jc w:val="center"/>
              <w:rPr>
                <w:rFonts w:hint="eastAsia" w:ascii="仿宋" w:hAnsi="仿宋" w:eastAsia="仿宋" w:cs="仿宋"/>
              </w:rPr>
            </w:pPr>
          </w:p>
        </w:tc>
        <w:tc>
          <w:tcPr>
            <w:tcW w:w="765" w:type="dxa"/>
            <w:noWrap w:val="0"/>
            <w:vAlign w:val="center"/>
          </w:tcPr>
          <w:p w14:paraId="4110AFBE">
            <w:pPr>
              <w:widowControl/>
              <w:spacing w:line="240" w:lineRule="auto"/>
              <w:ind w:firstLine="0" w:firstLineChars="0"/>
              <w:jc w:val="center"/>
              <w:textAlignment w:val="center"/>
              <w:rPr>
                <w:rFonts w:hint="eastAsia" w:ascii="仿宋" w:hAnsi="仿宋" w:eastAsia="仿宋" w:cs="仿宋"/>
                <w:b/>
                <w:bCs/>
                <w:color w:val="000000"/>
                <w:sz w:val="22"/>
                <w:szCs w:val="22"/>
              </w:rPr>
            </w:pPr>
            <w:r>
              <w:rPr>
                <w:rFonts w:hint="eastAsia" w:ascii="仿宋" w:hAnsi="仿宋" w:eastAsia="仿宋" w:cs="仿宋"/>
                <w:b/>
                <w:bCs/>
                <w:color w:val="000000"/>
                <w:kern w:val="0"/>
                <w:sz w:val="22"/>
                <w:lang w:bidi="ar"/>
              </w:rPr>
              <w:t>秩序员</w:t>
            </w:r>
          </w:p>
        </w:tc>
        <w:tc>
          <w:tcPr>
            <w:tcW w:w="975" w:type="dxa"/>
            <w:noWrap w:val="0"/>
            <w:vAlign w:val="center"/>
          </w:tcPr>
          <w:p w14:paraId="11D9C120">
            <w:pPr>
              <w:widowControl/>
              <w:spacing w:line="240" w:lineRule="auto"/>
              <w:ind w:firstLine="0" w:firstLineChars="0"/>
              <w:jc w:val="center"/>
              <w:textAlignment w:val="center"/>
              <w:rPr>
                <w:rFonts w:hint="eastAsia" w:ascii="仿宋" w:hAnsi="仿宋" w:eastAsia="仿宋" w:cs="仿宋"/>
                <w:b/>
                <w:bCs/>
                <w:color w:val="000000"/>
                <w:sz w:val="22"/>
                <w:szCs w:val="22"/>
              </w:rPr>
            </w:pPr>
            <w:r>
              <w:rPr>
                <w:rFonts w:hint="eastAsia" w:ascii="仿宋" w:hAnsi="仿宋" w:eastAsia="仿宋" w:cs="仿宋"/>
                <w:b/>
                <w:bCs/>
                <w:sz w:val="22"/>
                <w:szCs w:val="22"/>
                <w:lang w:bidi="ar"/>
              </w:rPr>
              <w:t>安全综合主管</w:t>
            </w:r>
          </w:p>
        </w:tc>
        <w:tc>
          <w:tcPr>
            <w:tcW w:w="1020" w:type="dxa"/>
            <w:noWrap w:val="0"/>
            <w:vAlign w:val="center"/>
          </w:tcPr>
          <w:p w14:paraId="2DAD9D43">
            <w:pPr>
              <w:widowControl/>
              <w:spacing w:line="240" w:lineRule="auto"/>
              <w:ind w:firstLine="0" w:firstLineChars="0"/>
              <w:jc w:val="center"/>
              <w:textAlignment w:val="center"/>
              <w:rPr>
                <w:rFonts w:hint="eastAsia" w:ascii="仿宋" w:hAnsi="仿宋" w:eastAsia="仿宋" w:cs="仿宋"/>
                <w:b/>
                <w:bCs/>
                <w:color w:val="000000"/>
                <w:sz w:val="22"/>
                <w:szCs w:val="22"/>
              </w:rPr>
            </w:pPr>
            <w:r>
              <w:rPr>
                <w:rFonts w:hint="eastAsia" w:ascii="仿宋" w:hAnsi="仿宋" w:eastAsia="仿宋" w:cs="仿宋"/>
                <w:b/>
                <w:bCs/>
                <w:color w:val="000000"/>
                <w:kern w:val="0"/>
                <w:sz w:val="22"/>
                <w:lang w:bidi="ar"/>
              </w:rPr>
              <w:t>合计（人）</w:t>
            </w:r>
          </w:p>
        </w:tc>
        <w:tc>
          <w:tcPr>
            <w:tcW w:w="1410" w:type="dxa"/>
            <w:vMerge w:val="continue"/>
            <w:noWrap w:val="0"/>
            <w:vAlign w:val="top"/>
          </w:tcPr>
          <w:p w14:paraId="1B43EA58">
            <w:pPr>
              <w:spacing w:line="240" w:lineRule="auto"/>
              <w:ind w:firstLine="0" w:firstLineChars="0"/>
              <w:rPr>
                <w:rFonts w:hint="eastAsia" w:ascii="仿宋" w:hAnsi="仿宋" w:eastAsia="仿宋" w:cs="仿宋"/>
              </w:rPr>
            </w:pPr>
          </w:p>
        </w:tc>
        <w:tc>
          <w:tcPr>
            <w:tcW w:w="1500" w:type="dxa"/>
            <w:vMerge w:val="continue"/>
            <w:noWrap w:val="0"/>
            <w:vAlign w:val="top"/>
          </w:tcPr>
          <w:p w14:paraId="03AF6858">
            <w:pPr>
              <w:spacing w:line="240" w:lineRule="auto"/>
              <w:ind w:firstLine="0" w:firstLineChars="0"/>
              <w:rPr>
                <w:rFonts w:hint="eastAsia" w:ascii="仿宋" w:hAnsi="仿宋" w:eastAsia="仿宋" w:cs="仿宋"/>
              </w:rPr>
            </w:pPr>
          </w:p>
        </w:tc>
        <w:tc>
          <w:tcPr>
            <w:tcW w:w="2145" w:type="dxa"/>
            <w:vMerge w:val="continue"/>
            <w:noWrap w:val="0"/>
            <w:vAlign w:val="top"/>
          </w:tcPr>
          <w:p w14:paraId="66BEA318">
            <w:pPr>
              <w:spacing w:line="240" w:lineRule="auto"/>
              <w:ind w:firstLine="0" w:firstLineChars="0"/>
              <w:rPr>
                <w:rFonts w:hint="eastAsia" w:ascii="仿宋" w:hAnsi="仿宋" w:eastAsia="仿宋" w:cs="仿宋"/>
              </w:rPr>
            </w:pPr>
          </w:p>
        </w:tc>
      </w:tr>
      <w:tr w14:paraId="18EC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5" w:type="dxa"/>
            <w:noWrap w:val="0"/>
            <w:vAlign w:val="center"/>
          </w:tcPr>
          <w:p w14:paraId="3EDB1E68">
            <w:pPr>
              <w:spacing w:line="240" w:lineRule="auto"/>
              <w:ind w:firstLine="0" w:firstLineChars="0"/>
              <w:jc w:val="center"/>
              <w:rPr>
                <w:rFonts w:hint="eastAsia" w:ascii="仿宋" w:hAnsi="仿宋" w:eastAsia="仿宋" w:cs="仿宋"/>
              </w:rPr>
            </w:pPr>
            <w:r>
              <w:rPr>
                <w:rFonts w:hint="eastAsia" w:ascii="仿宋" w:hAnsi="仿宋" w:eastAsia="仿宋" w:cs="仿宋"/>
              </w:rPr>
              <w:t>1</w:t>
            </w:r>
          </w:p>
        </w:tc>
        <w:tc>
          <w:tcPr>
            <w:tcW w:w="1875" w:type="dxa"/>
            <w:noWrap w:val="0"/>
            <w:vAlign w:val="center"/>
          </w:tcPr>
          <w:p w14:paraId="01AB5CB7">
            <w:pPr>
              <w:spacing w:line="240" w:lineRule="auto"/>
              <w:ind w:firstLine="0" w:firstLineChars="0"/>
              <w:jc w:val="center"/>
              <w:rPr>
                <w:rFonts w:hint="eastAsia" w:ascii="仿宋" w:hAnsi="仿宋" w:eastAsia="仿宋" w:cs="仿宋"/>
              </w:rPr>
            </w:pPr>
            <w:r>
              <w:rPr>
                <w:rFonts w:hint="eastAsia" w:ascii="仿宋" w:hAnsi="仿宋" w:eastAsia="仿宋" w:cs="仿宋"/>
                <w:sz w:val="21"/>
                <w:szCs w:val="21"/>
              </w:rPr>
              <w:t>英诺双创</w:t>
            </w:r>
          </w:p>
        </w:tc>
        <w:tc>
          <w:tcPr>
            <w:tcW w:w="765" w:type="dxa"/>
            <w:noWrap w:val="0"/>
            <w:vAlign w:val="center"/>
          </w:tcPr>
          <w:p w14:paraId="4F7DF344">
            <w:pPr>
              <w:spacing w:line="240" w:lineRule="auto"/>
              <w:ind w:firstLine="0" w:firstLineChars="0"/>
              <w:jc w:val="center"/>
              <w:rPr>
                <w:rFonts w:hint="eastAsia" w:ascii="仿宋" w:hAnsi="仿宋" w:eastAsia="仿宋" w:cs="仿宋"/>
              </w:rPr>
            </w:pPr>
            <w:r>
              <w:rPr>
                <w:rFonts w:hint="eastAsia" w:ascii="仿宋" w:hAnsi="仿宋" w:eastAsia="仿宋" w:cs="仿宋"/>
              </w:rPr>
              <w:t>8</w:t>
            </w:r>
          </w:p>
        </w:tc>
        <w:tc>
          <w:tcPr>
            <w:tcW w:w="975" w:type="dxa"/>
            <w:noWrap w:val="0"/>
            <w:vAlign w:val="center"/>
          </w:tcPr>
          <w:p w14:paraId="4F1EDAA6">
            <w:pPr>
              <w:spacing w:line="240" w:lineRule="auto"/>
              <w:ind w:firstLine="0" w:firstLineChars="0"/>
              <w:jc w:val="center"/>
              <w:rPr>
                <w:rFonts w:hint="eastAsia" w:ascii="仿宋" w:hAnsi="仿宋" w:eastAsia="仿宋" w:cs="仿宋"/>
              </w:rPr>
            </w:pPr>
            <w:r>
              <w:rPr>
                <w:rFonts w:hint="eastAsia" w:ascii="仿宋" w:hAnsi="仿宋" w:eastAsia="仿宋" w:cs="仿宋"/>
              </w:rPr>
              <w:t>1</w:t>
            </w:r>
          </w:p>
        </w:tc>
        <w:tc>
          <w:tcPr>
            <w:tcW w:w="1020" w:type="dxa"/>
            <w:noWrap w:val="0"/>
            <w:vAlign w:val="center"/>
          </w:tcPr>
          <w:p w14:paraId="3D252FF9">
            <w:pPr>
              <w:spacing w:line="240" w:lineRule="auto"/>
              <w:ind w:firstLine="0" w:firstLineChars="0"/>
              <w:jc w:val="center"/>
              <w:rPr>
                <w:rFonts w:hint="eastAsia" w:ascii="仿宋" w:hAnsi="仿宋" w:eastAsia="仿宋" w:cs="仿宋"/>
              </w:rPr>
            </w:pPr>
            <w:r>
              <w:rPr>
                <w:rFonts w:hint="eastAsia" w:ascii="仿宋" w:hAnsi="仿宋" w:eastAsia="仿宋" w:cs="仿宋"/>
                <w:szCs w:val="21"/>
              </w:rPr>
              <w:t>9</w:t>
            </w:r>
          </w:p>
        </w:tc>
        <w:tc>
          <w:tcPr>
            <w:tcW w:w="1410" w:type="dxa"/>
            <w:noWrap w:val="0"/>
            <w:vAlign w:val="center"/>
          </w:tcPr>
          <w:p w14:paraId="593E2522">
            <w:pPr>
              <w:widowControl/>
              <w:spacing w:line="240" w:lineRule="auto"/>
              <w:ind w:firstLine="0" w:firstLineChars="0"/>
              <w:jc w:val="center"/>
              <w:textAlignment w:val="center"/>
              <w:rPr>
                <w:rFonts w:hint="eastAsia" w:ascii="仿宋" w:hAnsi="仿宋" w:eastAsia="仿宋" w:cs="仿宋"/>
              </w:rPr>
            </w:pPr>
          </w:p>
        </w:tc>
        <w:tc>
          <w:tcPr>
            <w:tcW w:w="1500" w:type="dxa"/>
            <w:noWrap w:val="0"/>
            <w:vAlign w:val="center"/>
          </w:tcPr>
          <w:p w14:paraId="41CD92A7">
            <w:pPr>
              <w:widowControl/>
              <w:spacing w:line="240" w:lineRule="auto"/>
              <w:ind w:firstLine="0" w:firstLineChars="0"/>
              <w:jc w:val="center"/>
              <w:textAlignment w:val="center"/>
              <w:rPr>
                <w:rFonts w:hint="eastAsia" w:ascii="仿宋" w:hAnsi="仿宋" w:eastAsia="仿宋" w:cs="仿宋"/>
              </w:rPr>
            </w:pPr>
          </w:p>
        </w:tc>
        <w:tc>
          <w:tcPr>
            <w:tcW w:w="2145" w:type="dxa"/>
            <w:noWrap w:val="0"/>
            <w:vAlign w:val="center"/>
          </w:tcPr>
          <w:p w14:paraId="7C354122">
            <w:pPr>
              <w:spacing w:line="240" w:lineRule="auto"/>
              <w:ind w:firstLine="0" w:firstLineChars="0"/>
              <w:jc w:val="center"/>
              <w:rPr>
                <w:rFonts w:hint="eastAsia" w:ascii="仿宋" w:hAnsi="仿宋" w:eastAsia="仿宋" w:cs="仿宋"/>
              </w:rPr>
            </w:pPr>
            <w:r>
              <w:rPr>
                <w:rFonts w:hint="eastAsia" w:ascii="仿宋" w:hAnsi="仿宋" w:eastAsia="仿宋" w:cs="仿宋"/>
              </w:rPr>
              <w:t>如有人员调整，据实结算</w:t>
            </w:r>
          </w:p>
        </w:tc>
      </w:tr>
      <w:tr w14:paraId="53D2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85" w:type="dxa"/>
            <w:noWrap w:val="0"/>
            <w:vAlign w:val="center"/>
          </w:tcPr>
          <w:p w14:paraId="0C40C279">
            <w:pPr>
              <w:spacing w:line="240" w:lineRule="auto"/>
              <w:ind w:firstLine="0" w:firstLineChars="0"/>
              <w:jc w:val="center"/>
              <w:rPr>
                <w:rFonts w:hint="eastAsia" w:ascii="仿宋" w:hAnsi="仿宋" w:eastAsia="仿宋" w:cs="仿宋"/>
              </w:rPr>
            </w:pPr>
            <w:r>
              <w:rPr>
                <w:rFonts w:hint="eastAsia" w:ascii="仿宋" w:hAnsi="仿宋" w:eastAsia="仿宋" w:cs="仿宋"/>
              </w:rPr>
              <w:t>2</w:t>
            </w:r>
          </w:p>
        </w:tc>
        <w:tc>
          <w:tcPr>
            <w:tcW w:w="1875" w:type="dxa"/>
            <w:noWrap w:val="0"/>
            <w:vAlign w:val="center"/>
          </w:tcPr>
          <w:p w14:paraId="7C407693">
            <w:pPr>
              <w:spacing w:line="240" w:lineRule="auto"/>
              <w:ind w:firstLine="0" w:firstLineChars="0"/>
              <w:jc w:val="center"/>
              <w:rPr>
                <w:rFonts w:hint="eastAsia" w:ascii="仿宋" w:hAnsi="仿宋" w:eastAsia="仿宋" w:cs="仿宋"/>
              </w:rPr>
            </w:pPr>
            <w:r>
              <w:rPr>
                <w:rFonts w:hint="eastAsia" w:ascii="仿宋" w:hAnsi="仿宋" w:eastAsia="仿宋" w:cs="仿宋"/>
                <w:color w:val="000000"/>
                <w:kern w:val="0"/>
                <w:sz w:val="21"/>
                <w:szCs w:val="21"/>
                <w:lang w:bidi="ar"/>
              </w:rPr>
              <w:t>九龙坡区民政局婚姻登记处</w:t>
            </w:r>
          </w:p>
        </w:tc>
        <w:tc>
          <w:tcPr>
            <w:tcW w:w="765" w:type="dxa"/>
            <w:noWrap w:val="0"/>
            <w:vAlign w:val="center"/>
          </w:tcPr>
          <w:p w14:paraId="1511D0F2">
            <w:pPr>
              <w:spacing w:line="240" w:lineRule="auto"/>
              <w:ind w:firstLine="0" w:firstLineChars="0"/>
              <w:jc w:val="center"/>
              <w:rPr>
                <w:rFonts w:hint="eastAsia" w:ascii="仿宋" w:hAnsi="仿宋" w:eastAsia="仿宋" w:cs="仿宋"/>
              </w:rPr>
            </w:pPr>
            <w:r>
              <w:rPr>
                <w:rFonts w:hint="eastAsia" w:ascii="仿宋" w:hAnsi="仿宋" w:eastAsia="仿宋" w:cs="仿宋"/>
                <w:szCs w:val="21"/>
              </w:rPr>
              <w:t>1</w:t>
            </w:r>
          </w:p>
        </w:tc>
        <w:tc>
          <w:tcPr>
            <w:tcW w:w="975" w:type="dxa"/>
            <w:noWrap w:val="0"/>
            <w:vAlign w:val="center"/>
          </w:tcPr>
          <w:p w14:paraId="47494CDC">
            <w:pPr>
              <w:spacing w:line="240" w:lineRule="auto"/>
              <w:ind w:firstLine="0" w:firstLineChars="0"/>
              <w:jc w:val="center"/>
              <w:rPr>
                <w:rFonts w:hint="eastAsia" w:ascii="仿宋" w:hAnsi="仿宋" w:eastAsia="仿宋" w:cs="仿宋"/>
              </w:rPr>
            </w:pPr>
            <w:r>
              <w:rPr>
                <w:rFonts w:hint="eastAsia" w:ascii="仿宋" w:hAnsi="仿宋" w:eastAsia="仿宋" w:cs="仿宋"/>
              </w:rPr>
              <w:t>0</w:t>
            </w:r>
          </w:p>
        </w:tc>
        <w:tc>
          <w:tcPr>
            <w:tcW w:w="1020" w:type="dxa"/>
            <w:noWrap w:val="0"/>
            <w:vAlign w:val="center"/>
          </w:tcPr>
          <w:p w14:paraId="2F0F51B5">
            <w:pPr>
              <w:spacing w:line="240" w:lineRule="auto"/>
              <w:ind w:firstLine="0" w:firstLineChars="0"/>
              <w:jc w:val="center"/>
              <w:rPr>
                <w:rFonts w:hint="eastAsia" w:ascii="仿宋" w:hAnsi="仿宋" w:eastAsia="仿宋" w:cs="仿宋"/>
              </w:rPr>
            </w:pPr>
            <w:r>
              <w:rPr>
                <w:rFonts w:hint="eastAsia" w:ascii="仿宋" w:hAnsi="仿宋" w:eastAsia="仿宋" w:cs="仿宋"/>
                <w:szCs w:val="21"/>
              </w:rPr>
              <w:t>1</w:t>
            </w:r>
          </w:p>
        </w:tc>
        <w:tc>
          <w:tcPr>
            <w:tcW w:w="1410" w:type="dxa"/>
            <w:noWrap w:val="0"/>
            <w:vAlign w:val="center"/>
          </w:tcPr>
          <w:p w14:paraId="16AA28CF">
            <w:pPr>
              <w:widowControl/>
              <w:spacing w:line="240" w:lineRule="auto"/>
              <w:ind w:firstLine="0" w:firstLineChars="0"/>
              <w:jc w:val="center"/>
              <w:textAlignment w:val="center"/>
              <w:rPr>
                <w:rFonts w:hint="eastAsia" w:ascii="仿宋" w:hAnsi="仿宋" w:eastAsia="仿宋" w:cs="仿宋"/>
              </w:rPr>
            </w:pPr>
          </w:p>
        </w:tc>
        <w:tc>
          <w:tcPr>
            <w:tcW w:w="1500" w:type="dxa"/>
            <w:noWrap w:val="0"/>
            <w:vAlign w:val="center"/>
          </w:tcPr>
          <w:p w14:paraId="07757E66">
            <w:pPr>
              <w:widowControl/>
              <w:spacing w:line="240" w:lineRule="auto"/>
              <w:ind w:firstLine="0" w:firstLineChars="0"/>
              <w:jc w:val="center"/>
              <w:textAlignment w:val="center"/>
              <w:rPr>
                <w:rFonts w:hint="eastAsia" w:ascii="仿宋" w:hAnsi="仿宋" w:eastAsia="仿宋" w:cs="仿宋"/>
              </w:rPr>
            </w:pPr>
          </w:p>
        </w:tc>
        <w:tc>
          <w:tcPr>
            <w:tcW w:w="2145" w:type="dxa"/>
            <w:noWrap w:val="0"/>
            <w:vAlign w:val="center"/>
          </w:tcPr>
          <w:p w14:paraId="790F6413">
            <w:pPr>
              <w:spacing w:line="240" w:lineRule="auto"/>
              <w:ind w:firstLine="0" w:firstLineChars="0"/>
              <w:jc w:val="center"/>
              <w:rPr>
                <w:rFonts w:hint="eastAsia" w:ascii="仿宋" w:hAnsi="仿宋" w:eastAsia="仿宋" w:cs="仿宋"/>
              </w:rPr>
            </w:pPr>
            <w:r>
              <w:rPr>
                <w:rFonts w:hint="eastAsia" w:ascii="仿宋" w:hAnsi="仿宋" w:eastAsia="仿宋" w:cs="仿宋"/>
              </w:rPr>
              <w:t>如有人员调整，据实结算</w:t>
            </w:r>
          </w:p>
        </w:tc>
      </w:tr>
      <w:tr w14:paraId="50F1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460" w:type="dxa"/>
            <w:gridSpan w:val="2"/>
            <w:noWrap w:val="0"/>
            <w:vAlign w:val="center"/>
          </w:tcPr>
          <w:p w14:paraId="11EF4F7D">
            <w:pPr>
              <w:spacing w:line="240" w:lineRule="auto"/>
              <w:ind w:firstLine="0" w:firstLineChars="0"/>
              <w:jc w:val="center"/>
              <w:rPr>
                <w:rFonts w:hint="eastAsia" w:ascii="仿宋" w:hAnsi="仿宋" w:eastAsia="仿宋" w:cs="仿宋"/>
              </w:rPr>
            </w:pPr>
            <w:r>
              <w:rPr>
                <w:rFonts w:hint="eastAsia" w:ascii="仿宋" w:hAnsi="仿宋" w:eastAsia="仿宋" w:cs="仿宋"/>
              </w:rPr>
              <w:t>小计</w:t>
            </w:r>
          </w:p>
        </w:tc>
        <w:tc>
          <w:tcPr>
            <w:tcW w:w="765" w:type="dxa"/>
            <w:noWrap w:val="0"/>
            <w:vAlign w:val="center"/>
          </w:tcPr>
          <w:p w14:paraId="7617E9AE">
            <w:pPr>
              <w:spacing w:line="240" w:lineRule="auto"/>
              <w:ind w:firstLine="0" w:firstLineChars="0"/>
              <w:jc w:val="center"/>
              <w:rPr>
                <w:rFonts w:hint="eastAsia" w:ascii="仿宋" w:hAnsi="仿宋" w:eastAsia="仿宋" w:cs="仿宋"/>
              </w:rPr>
            </w:pPr>
            <w:r>
              <w:rPr>
                <w:rFonts w:hint="eastAsia" w:ascii="仿宋" w:hAnsi="仿宋" w:eastAsia="仿宋" w:cs="仿宋"/>
              </w:rPr>
              <w:t>9</w:t>
            </w:r>
          </w:p>
        </w:tc>
        <w:tc>
          <w:tcPr>
            <w:tcW w:w="975" w:type="dxa"/>
            <w:noWrap w:val="0"/>
            <w:vAlign w:val="center"/>
          </w:tcPr>
          <w:p w14:paraId="72D024FE">
            <w:pPr>
              <w:spacing w:line="240" w:lineRule="auto"/>
              <w:ind w:firstLine="0" w:firstLineChars="0"/>
              <w:jc w:val="center"/>
              <w:rPr>
                <w:rFonts w:hint="eastAsia" w:ascii="仿宋" w:hAnsi="仿宋" w:eastAsia="仿宋" w:cs="仿宋"/>
              </w:rPr>
            </w:pPr>
            <w:r>
              <w:rPr>
                <w:rFonts w:hint="eastAsia" w:ascii="仿宋" w:hAnsi="仿宋" w:eastAsia="仿宋" w:cs="仿宋"/>
              </w:rPr>
              <w:t>1</w:t>
            </w:r>
          </w:p>
        </w:tc>
        <w:tc>
          <w:tcPr>
            <w:tcW w:w="1020" w:type="dxa"/>
            <w:noWrap w:val="0"/>
            <w:vAlign w:val="center"/>
          </w:tcPr>
          <w:p w14:paraId="1D7065B7">
            <w:pPr>
              <w:spacing w:line="240" w:lineRule="auto"/>
              <w:ind w:firstLine="0" w:firstLineChars="0"/>
              <w:jc w:val="center"/>
              <w:rPr>
                <w:rFonts w:hint="eastAsia" w:ascii="仿宋" w:hAnsi="仿宋" w:eastAsia="仿宋" w:cs="仿宋"/>
              </w:rPr>
            </w:pPr>
            <w:r>
              <w:rPr>
                <w:rFonts w:hint="eastAsia" w:ascii="仿宋" w:hAnsi="仿宋" w:eastAsia="仿宋" w:cs="仿宋"/>
              </w:rPr>
              <w:t>10</w:t>
            </w:r>
          </w:p>
        </w:tc>
        <w:tc>
          <w:tcPr>
            <w:tcW w:w="1410" w:type="dxa"/>
            <w:noWrap w:val="0"/>
            <w:vAlign w:val="center"/>
          </w:tcPr>
          <w:p w14:paraId="666372DC">
            <w:pPr>
              <w:widowControl/>
              <w:spacing w:line="240" w:lineRule="auto"/>
              <w:ind w:firstLine="0" w:firstLineChars="0"/>
              <w:jc w:val="center"/>
              <w:textAlignment w:val="center"/>
              <w:rPr>
                <w:rFonts w:hint="eastAsia" w:ascii="仿宋" w:hAnsi="仿宋" w:eastAsia="仿宋" w:cs="仿宋"/>
              </w:rPr>
            </w:pPr>
          </w:p>
        </w:tc>
        <w:tc>
          <w:tcPr>
            <w:tcW w:w="1500" w:type="dxa"/>
            <w:noWrap w:val="0"/>
            <w:vAlign w:val="center"/>
          </w:tcPr>
          <w:p w14:paraId="6334F990">
            <w:pPr>
              <w:widowControl/>
              <w:spacing w:line="240" w:lineRule="auto"/>
              <w:ind w:firstLine="0" w:firstLineChars="0"/>
              <w:jc w:val="center"/>
              <w:textAlignment w:val="center"/>
              <w:rPr>
                <w:rFonts w:hint="eastAsia" w:ascii="仿宋" w:hAnsi="仿宋" w:eastAsia="仿宋" w:cs="仿宋"/>
              </w:rPr>
            </w:pPr>
          </w:p>
        </w:tc>
        <w:tc>
          <w:tcPr>
            <w:tcW w:w="2145" w:type="dxa"/>
            <w:noWrap w:val="0"/>
            <w:vAlign w:val="center"/>
          </w:tcPr>
          <w:p w14:paraId="068699A0">
            <w:pPr>
              <w:spacing w:line="240" w:lineRule="auto"/>
              <w:ind w:firstLine="0" w:firstLineChars="0"/>
              <w:jc w:val="center"/>
              <w:rPr>
                <w:rFonts w:hint="eastAsia" w:ascii="仿宋" w:hAnsi="仿宋" w:eastAsia="仿宋" w:cs="仿宋"/>
              </w:rPr>
            </w:pPr>
          </w:p>
        </w:tc>
      </w:tr>
      <w:tr w14:paraId="5E5D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275" w:type="dxa"/>
            <w:gridSpan w:val="8"/>
            <w:noWrap w:val="0"/>
            <w:vAlign w:val="center"/>
          </w:tcPr>
          <w:p w14:paraId="759A6953">
            <w:pPr>
              <w:widowControl/>
              <w:ind w:firstLine="0" w:firstLineChars="0"/>
              <w:textAlignment w:val="center"/>
              <w:rPr>
                <w:rFonts w:hint="eastAsia"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备注：</w:t>
            </w:r>
          </w:p>
          <w:p w14:paraId="6D0266D1">
            <w:pPr>
              <w:spacing w:line="240" w:lineRule="auto"/>
              <w:ind w:firstLine="0" w:firstLineChars="0"/>
              <w:jc w:val="left"/>
              <w:rPr>
                <w:rFonts w:hint="default" w:ascii="仿宋" w:hAnsi="仿宋" w:eastAsia="仿宋" w:cs="仿宋"/>
                <w:lang w:val="en-US" w:eastAsia="zh-CN"/>
              </w:rPr>
            </w:pPr>
            <w:r>
              <w:rPr>
                <w:rFonts w:hint="eastAsia" w:ascii="仿宋" w:hAnsi="仿宋" w:eastAsia="仿宋" w:cs="仿宋"/>
                <w:color w:val="000000"/>
                <w:kern w:val="0"/>
                <w:sz w:val="20"/>
                <w:szCs w:val="20"/>
                <w:lang w:bidi="ar"/>
              </w:rPr>
              <w:t>1、以上价格为含税全费用单价，即包含：人工工资、福利、社保、雇主责任险、其他保险费、加班费、绩效、补贴、餐费、住宿费、培训费、体检费、劳动保护用品及装备、交通差旅费、服装费、耗材费、管理费、税费、利润等一切费用。</w:t>
            </w:r>
            <w:r>
              <w:rPr>
                <w:rFonts w:hint="eastAsia" w:ascii="仿宋" w:hAnsi="仿宋" w:eastAsia="仿宋" w:cs="仿宋"/>
                <w:color w:val="000000"/>
                <w:kern w:val="0"/>
                <w:sz w:val="20"/>
                <w:szCs w:val="20"/>
                <w:lang w:bidi="ar"/>
              </w:rPr>
              <w:br w:type="textWrapping"/>
            </w:r>
            <w:r>
              <w:rPr>
                <w:rFonts w:hint="eastAsia" w:ascii="仿宋" w:hAnsi="仿宋" w:eastAsia="仿宋" w:cs="仿宋"/>
                <w:b/>
                <w:bCs/>
                <w:color w:val="000000"/>
                <w:kern w:val="0"/>
                <w:sz w:val="21"/>
                <w:szCs w:val="21"/>
                <w:lang w:val="en-US" w:eastAsia="zh-CN" w:bidi="ar"/>
              </w:rPr>
              <w:t>2、</w:t>
            </w:r>
            <w:r>
              <w:rPr>
                <w:rFonts w:hint="eastAsia" w:ascii="仿宋" w:hAnsi="仿宋" w:eastAsia="仿宋" w:cs="仿宋"/>
                <w:b/>
                <w:bCs/>
                <w:color w:val="000000"/>
                <w:kern w:val="0"/>
                <w:sz w:val="21"/>
                <w:szCs w:val="21"/>
                <w:lang w:bidi="ar"/>
              </w:rPr>
              <w:t>总价与由单价计算出的总价不一致时，由评</w:t>
            </w:r>
            <w:r>
              <w:rPr>
                <w:rFonts w:hint="eastAsia" w:ascii="仿宋" w:hAnsi="仿宋" w:eastAsia="仿宋" w:cs="仿宋"/>
                <w:b/>
                <w:bCs/>
                <w:color w:val="000000"/>
                <w:kern w:val="0"/>
                <w:sz w:val="21"/>
                <w:szCs w:val="21"/>
                <w:lang w:val="en-US" w:eastAsia="zh-CN" w:bidi="ar"/>
              </w:rPr>
              <w:t>审</w:t>
            </w:r>
            <w:r>
              <w:rPr>
                <w:rFonts w:hint="eastAsia" w:ascii="仿宋" w:hAnsi="仿宋" w:eastAsia="仿宋" w:cs="仿宋"/>
                <w:b/>
                <w:bCs/>
                <w:color w:val="000000"/>
                <w:kern w:val="0"/>
                <w:sz w:val="21"/>
                <w:szCs w:val="21"/>
                <w:lang w:bidi="ar"/>
              </w:rPr>
              <w:t>委员会作否决</w:t>
            </w:r>
            <w:r>
              <w:rPr>
                <w:rFonts w:hint="eastAsia" w:ascii="仿宋" w:hAnsi="仿宋" w:eastAsia="仿宋" w:cs="仿宋"/>
                <w:b/>
                <w:bCs/>
                <w:color w:val="000000"/>
                <w:kern w:val="0"/>
                <w:sz w:val="21"/>
                <w:szCs w:val="21"/>
                <w:lang w:eastAsia="zh-CN" w:bidi="ar"/>
              </w:rPr>
              <w:t>竞选</w:t>
            </w:r>
            <w:r>
              <w:rPr>
                <w:rFonts w:hint="eastAsia" w:ascii="仿宋" w:hAnsi="仿宋" w:eastAsia="仿宋" w:cs="仿宋"/>
                <w:b/>
                <w:bCs/>
                <w:color w:val="000000"/>
                <w:kern w:val="0"/>
                <w:sz w:val="21"/>
                <w:szCs w:val="21"/>
                <w:lang w:bidi="ar"/>
              </w:rPr>
              <w:t>处理；</w:t>
            </w:r>
          </w:p>
        </w:tc>
      </w:tr>
    </w:tbl>
    <w:p w14:paraId="1FAE243F">
      <w:pPr>
        <w:adjustRightInd w:val="0"/>
        <w:spacing w:before="0" w:after="0"/>
        <w:rPr>
          <w:rFonts w:hint="eastAsia"/>
        </w:rPr>
      </w:pPr>
    </w:p>
    <w:p w14:paraId="0B30D277">
      <w:pPr>
        <w:pStyle w:val="3"/>
        <w:adjustRightInd w:val="0"/>
        <w:spacing w:before="0" w:after="0" w:line="400" w:lineRule="exact"/>
        <w:ind w:firstLine="482"/>
        <w:rPr>
          <w:rFonts w:hint="eastAsia" w:ascii="方正仿宋_GBK" w:hAnsi="宋体" w:eastAsia="方正仿宋_GBK"/>
          <w:sz w:val="24"/>
        </w:rPr>
      </w:pPr>
      <w:r>
        <w:rPr>
          <w:rFonts w:hint="eastAsia" w:ascii="方正仿宋_GBK" w:hAnsi="宋体" w:eastAsia="方正仿宋_GBK"/>
          <w:sz w:val="24"/>
        </w:rPr>
        <w:br w:type="page"/>
      </w:r>
      <w:r>
        <w:rPr>
          <w:rFonts w:hint="eastAsia" w:ascii="方正仿宋_GBK" w:hAnsi="宋体" w:eastAsia="方正仿宋_GBK"/>
          <w:sz w:val="24"/>
        </w:rPr>
        <w:t>二、服务部分</w:t>
      </w:r>
      <w:bookmarkEnd w:id="102"/>
      <w:bookmarkEnd w:id="103"/>
      <w:bookmarkEnd w:id="104"/>
      <w:bookmarkEnd w:id="105"/>
      <w:bookmarkEnd w:id="106"/>
    </w:p>
    <w:p w14:paraId="4DC3F485">
      <w:pPr>
        <w:tabs>
          <w:tab w:val="left" w:pos="6300"/>
        </w:tabs>
        <w:rPr>
          <w:rFonts w:hint="eastAsia" w:ascii="方正仿宋_GBK" w:hAnsi="宋体"/>
        </w:rPr>
      </w:pPr>
      <w:r>
        <w:rPr>
          <w:rFonts w:hint="eastAsia" w:ascii="方正仿宋_GBK" w:hAnsi="宋体"/>
        </w:rPr>
        <w:t>（一）服务响应偏离表</w:t>
      </w:r>
    </w:p>
    <w:p w14:paraId="2F0C428C">
      <w:pPr>
        <w:rPr>
          <w:rFonts w:hint="eastAsia" w:ascii="方正仿宋_GBK" w:hAnsi="宋体"/>
        </w:rPr>
      </w:pPr>
      <w:r>
        <w:rPr>
          <w:rFonts w:hint="eastAsia" w:ascii="方正仿宋_GBK" w:hAnsi="宋体"/>
        </w:rPr>
        <w:t xml:space="preserve">项目编号：                                </w:t>
      </w:r>
    </w:p>
    <w:p w14:paraId="71CC1340">
      <w:pPr>
        <w:rPr>
          <w:rFonts w:hint="eastAsia" w:ascii="方正仿宋_GBK" w:hAnsi="宋体"/>
        </w:rPr>
      </w:pPr>
      <w:r>
        <w:rPr>
          <w:rFonts w:hint="eastAsia" w:ascii="方正仿宋_GBK" w:hAnsi="宋体"/>
        </w:rPr>
        <w:t>项目名称：</w:t>
      </w:r>
    </w:p>
    <w:tbl>
      <w:tblPr>
        <w:tblStyle w:val="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7"/>
        <w:gridCol w:w="3081"/>
        <w:gridCol w:w="2309"/>
      </w:tblGrid>
      <w:tr w14:paraId="0193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0" w:type="pct"/>
            <w:noWrap w:val="0"/>
            <w:vAlign w:val="center"/>
          </w:tcPr>
          <w:p w14:paraId="099C0FB3">
            <w:pPr>
              <w:tabs>
                <w:tab w:val="left" w:pos="6300"/>
              </w:tabs>
              <w:spacing w:line="500" w:lineRule="exact"/>
              <w:ind w:firstLine="420"/>
              <w:jc w:val="center"/>
              <w:outlineLvl w:val="0"/>
              <w:rPr>
                <w:rFonts w:hint="eastAsia" w:ascii="方正仿宋_GBK" w:hAnsi="宋体"/>
                <w:sz w:val="21"/>
                <w:szCs w:val="21"/>
              </w:rPr>
            </w:pPr>
            <w:r>
              <w:rPr>
                <w:rFonts w:hint="eastAsia" w:ascii="方正仿宋_GBK" w:hAnsi="宋体"/>
                <w:sz w:val="21"/>
                <w:szCs w:val="21"/>
              </w:rPr>
              <w:t>序号</w:t>
            </w:r>
          </w:p>
        </w:tc>
        <w:tc>
          <w:tcPr>
            <w:tcW w:w="1541" w:type="pct"/>
            <w:noWrap w:val="0"/>
            <w:vAlign w:val="center"/>
          </w:tcPr>
          <w:p w14:paraId="5AF69361">
            <w:pPr>
              <w:tabs>
                <w:tab w:val="left" w:pos="6300"/>
              </w:tabs>
              <w:spacing w:line="500" w:lineRule="exact"/>
              <w:ind w:firstLine="420"/>
              <w:jc w:val="center"/>
              <w:outlineLvl w:val="0"/>
              <w:rPr>
                <w:rFonts w:hint="eastAsia" w:ascii="方正仿宋_GBK" w:hAnsi="宋体"/>
                <w:sz w:val="21"/>
                <w:szCs w:val="21"/>
              </w:rPr>
            </w:pPr>
            <w:r>
              <w:rPr>
                <w:rFonts w:hint="eastAsia" w:ascii="方正仿宋_GBK" w:hAnsi="宋体"/>
                <w:sz w:val="21"/>
                <w:szCs w:val="21"/>
              </w:rPr>
              <w:t>采购需求</w:t>
            </w:r>
          </w:p>
        </w:tc>
        <w:tc>
          <w:tcPr>
            <w:tcW w:w="1600" w:type="pct"/>
            <w:noWrap w:val="0"/>
            <w:vAlign w:val="center"/>
          </w:tcPr>
          <w:p w14:paraId="5225CC39">
            <w:pPr>
              <w:tabs>
                <w:tab w:val="left" w:pos="6300"/>
              </w:tabs>
              <w:spacing w:line="500" w:lineRule="exact"/>
              <w:ind w:firstLine="420"/>
              <w:jc w:val="center"/>
              <w:outlineLvl w:val="0"/>
              <w:rPr>
                <w:rFonts w:hint="eastAsia" w:ascii="方正仿宋_GBK" w:hAnsi="宋体"/>
                <w:sz w:val="21"/>
                <w:szCs w:val="21"/>
              </w:rPr>
            </w:pPr>
            <w:r>
              <w:rPr>
                <w:rFonts w:hint="eastAsia" w:ascii="方正仿宋_GBK" w:hAnsi="宋体"/>
                <w:sz w:val="21"/>
                <w:szCs w:val="21"/>
              </w:rPr>
              <w:t>响应情况</w:t>
            </w:r>
          </w:p>
        </w:tc>
        <w:tc>
          <w:tcPr>
            <w:tcW w:w="1199" w:type="pct"/>
            <w:noWrap w:val="0"/>
            <w:vAlign w:val="center"/>
          </w:tcPr>
          <w:p w14:paraId="653C5549">
            <w:pPr>
              <w:tabs>
                <w:tab w:val="left" w:pos="6300"/>
              </w:tabs>
              <w:spacing w:line="500" w:lineRule="exact"/>
              <w:ind w:firstLine="420"/>
              <w:jc w:val="center"/>
              <w:outlineLvl w:val="0"/>
              <w:rPr>
                <w:rFonts w:hint="eastAsia" w:ascii="方正仿宋_GBK" w:hAnsi="宋体"/>
                <w:sz w:val="21"/>
                <w:szCs w:val="21"/>
              </w:rPr>
            </w:pPr>
            <w:r>
              <w:rPr>
                <w:rFonts w:hint="eastAsia" w:ascii="方正仿宋_GBK" w:hAnsi="宋体"/>
                <w:sz w:val="21"/>
                <w:szCs w:val="21"/>
              </w:rPr>
              <w:t>差异说明</w:t>
            </w:r>
          </w:p>
        </w:tc>
      </w:tr>
      <w:tr w14:paraId="7EA2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134EF8FE">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17BE182B">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375BEB8B">
            <w:pPr>
              <w:tabs>
                <w:tab w:val="left" w:pos="6300"/>
              </w:tabs>
              <w:spacing w:line="500" w:lineRule="exact"/>
              <w:ind w:firstLine="420"/>
              <w:outlineLvl w:val="0"/>
              <w:rPr>
                <w:rFonts w:hint="eastAsia" w:ascii="方正仿宋_GBK" w:hAnsi="宋体"/>
                <w:sz w:val="21"/>
                <w:szCs w:val="21"/>
              </w:rPr>
            </w:pPr>
            <w:r>
              <w:rPr>
                <w:rFonts w:ascii="方正仿宋_GBK" w:hAnsi="仿宋"/>
                <w:sz w:val="21"/>
                <w:szCs w:val="21"/>
              </w:rPr>
              <w:t>提醒</w:t>
            </w:r>
            <w:r>
              <w:rPr>
                <w:rFonts w:hint="eastAsia" w:ascii="方正仿宋_GBK" w:hAnsi="仿宋"/>
                <w:sz w:val="21"/>
                <w:szCs w:val="21"/>
              </w:rPr>
              <w:t>：</w:t>
            </w:r>
            <w:r>
              <w:rPr>
                <w:rFonts w:ascii="方正仿宋_GBK" w:hAnsi="仿宋"/>
                <w:sz w:val="21"/>
                <w:szCs w:val="21"/>
              </w:rPr>
              <w:t>请注明</w:t>
            </w:r>
            <w:r>
              <w:rPr>
                <w:rFonts w:hint="eastAsia" w:ascii="方正仿宋_GBK" w:hAnsi="仿宋"/>
                <w:sz w:val="21"/>
                <w:szCs w:val="21"/>
              </w:rPr>
              <w:t>技术参数</w:t>
            </w:r>
            <w:r>
              <w:rPr>
                <w:rFonts w:ascii="方正仿宋_GBK" w:hAnsi="仿宋"/>
                <w:sz w:val="21"/>
                <w:szCs w:val="21"/>
              </w:rPr>
              <w:t>或具体内容以及</w:t>
            </w:r>
            <w:r>
              <w:rPr>
                <w:rFonts w:hint="eastAsia" w:ascii="方正仿宋_GBK" w:hAnsi="仿宋"/>
                <w:sz w:val="21"/>
                <w:szCs w:val="21"/>
              </w:rPr>
              <w:t>竞选文件</w:t>
            </w:r>
            <w:r>
              <w:rPr>
                <w:rFonts w:ascii="方正仿宋_GBK" w:hAnsi="仿宋"/>
                <w:sz w:val="21"/>
                <w:szCs w:val="21"/>
              </w:rPr>
              <w:t>中</w:t>
            </w:r>
            <w:r>
              <w:rPr>
                <w:rFonts w:hint="eastAsia" w:ascii="方正仿宋_GBK" w:hAnsi="仿宋"/>
                <w:sz w:val="21"/>
                <w:szCs w:val="21"/>
              </w:rPr>
              <w:t>技术参数</w:t>
            </w:r>
            <w:r>
              <w:rPr>
                <w:rFonts w:ascii="方正仿宋_GBK" w:hAnsi="仿宋"/>
                <w:sz w:val="21"/>
                <w:szCs w:val="21"/>
              </w:rPr>
              <w:t>或</w:t>
            </w:r>
            <w:r>
              <w:rPr>
                <w:rFonts w:hint="eastAsia" w:ascii="方正仿宋_GBK" w:hAnsi="仿宋"/>
                <w:sz w:val="21"/>
                <w:szCs w:val="21"/>
              </w:rPr>
              <w:t>具体</w:t>
            </w:r>
            <w:r>
              <w:rPr>
                <w:rFonts w:ascii="方正仿宋_GBK" w:hAnsi="仿宋"/>
                <w:sz w:val="21"/>
                <w:szCs w:val="21"/>
              </w:rPr>
              <w:t>内容</w:t>
            </w:r>
            <w:r>
              <w:rPr>
                <w:rFonts w:hint="eastAsia" w:ascii="方正仿宋_GBK" w:hAnsi="仿宋"/>
                <w:sz w:val="21"/>
                <w:szCs w:val="21"/>
              </w:rPr>
              <w:t>的</w:t>
            </w:r>
            <w:r>
              <w:rPr>
                <w:rFonts w:ascii="方正仿宋_GBK" w:hAnsi="仿宋"/>
                <w:sz w:val="21"/>
                <w:szCs w:val="21"/>
              </w:rPr>
              <w:t>位置（</w:t>
            </w:r>
            <w:r>
              <w:rPr>
                <w:rFonts w:hint="eastAsia" w:ascii="方正仿宋_GBK" w:hAnsi="仿宋"/>
                <w:sz w:val="21"/>
                <w:szCs w:val="21"/>
              </w:rPr>
              <w:t>页码</w:t>
            </w:r>
            <w:r>
              <w:rPr>
                <w:rFonts w:ascii="方正仿宋_GBK" w:hAnsi="仿宋"/>
                <w:sz w:val="21"/>
                <w:szCs w:val="21"/>
              </w:rPr>
              <w:t>）</w:t>
            </w:r>
          </w:p>
        </w:tc>
        <w:tc>
          <w:tcPr>
            <w:tcW w:w="1199" w:type="pct"/>
            <w:noWrap w:val="0"/>
            <w:vAlign w:val="center"/>
          </w:tcPr>
          <w:p w14:paraId="32B8CE00">
            <w:pPr>
              <w:tabs>
                <w:tab w:val="left" w:pos="6300"/>
              </w:tabs>
              <w:spacing w:line="500" w:lineRule="exact"/>
              <w:ind w:firstLine="420"/>
              <w:jc w:val="center"/>
              <w:outlineLvl w:val="0"/>
              <w:rPr>
                <w:rFonts w:hint="eastAsia" w:ascii="方正仿宋_GBK" w:hAnsi="宋体"/>
                <w:sz w:val="21"/>
                <w:szCs w:val="21"/>
              </w:rPr>
            </w:pPr>
          </w:p>
        </w:tc>
      </w:tr>
      <w:tr w14:paraId="3792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6846E6D1">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296548CB">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57E4244C">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4A7434A9">
            <w:pPr>
              <w:tabs>
                <w:tab w:val="left" w:pos="6300"/>
              </w:tabs>
              <w:spacing w:line="500" w:lineRule="exact"/>
              <w:ind w:firstLine="420"/>
              <w:jc w:val="center"/>
              <w:outlineLvl w:val="0"/>
              <w:rPr>
                <w:rFonts w:hint="eastAsia" w:ascii="方正仿宋_GBK" w:hAnsi="宋体"/>
                <w:sz w:val="21"/>
                <w:szCs w:val="21"/>
              </w:rPr>
            </w:pPr>
          </w:p>
        </w:tc>
      </w:tr>
      <w:tr w14:paraId="411B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3126968B">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75F7A014">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1BA9841E">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60EDB04C">
            <w:pPr>
              <w:tabs>
                <w:tab w:val="left" w:pos="6300"/>
              </w:tabs>
              <w:spacing w:line="500" w:lineRule="exact"/>
              <w:ind w:firstLine="420"/>
              <w:jc w:val="center"/>
              <w:outlineLvl w:val="0"/>
              <w:rPr>
                <w:rFonts w:hint="eastAsia" w:ascii="方正仿宋_GBK" w:hAnsi="宋体"/>
                <w:sz w:val="21"/>
                <w:szCs w:val="21"/>
              </w:rPr>
            </w:pPr>
          </w:p>
        </w:tc>
      </w:tr>
      <w:tr w14:paraId="1E34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2A07E3B1">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0986C66E">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0159E381">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24A622F3">
            <w:pPr>
              <w:tabs>
                <w:tab w:val="left" w:pos="6300"/>
              </w:tabs>
              <w:spacing w:line="500" w:lineRule="exact"/>
              <w:ind w:firstLine="420"/>
              <w:jc w:val="center"/>
              <w:outlineLvl w:val="0"/>
              <w:rPr>
                <w:rFonts w:hint="eastAsia" w:ascii="方正仿宋_GBK" w:hAnsi="宋体"/>
                <w:sz w:val="21"/>
                <w:szCs w:val="21"/>
              </w:rPr>
            </w:pPr>
          </w:p>
        </w:tc>
      </w:tr>
      <w:tr w14:paraId="4926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1A4BD48F">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29ACBFAF">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0891E493">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7F627AAD">
            <w:pPr>
              <w:tabs>
                <w:tab w:val="left" w:pos="6300"/>
              </w:tabs>
              <w:spacing w:line="500" w:lineRule="exact"/>
              <w:ind w:firstLine="420"/>
              <w:jc w:val="center"/>
              <w:outlineLvl w:val="0"/>
              <w:rPr>
                <w:rFonts w:hint="eastAsia" w:ascii="方正仿宋_GBK" w:hAnsi="宋体"/>
                <w:sz w:val="21"/>
                <w:szCs w:val="21"/>
              </w:rPr>
            </w:pPr>
          </w:p>
        </w:tc>
      </w:tr>
      <w:tr w14:paraId="48A2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270D7AA0">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4D829596">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7D26AC7F">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76E01B4A">
            <w:pPr>
              <w:tabs>
                <w:tab w:val="left" w:pos="6300"/>
              </w:tabs>
              <w:spacing w:line="500" w:lineRule="exact"/>
              <w:ind w:firstLine="420"/>
              <w:jc w:val="center"/>
              <w:outlineLvl w:val="0"/>
              <w:rPr>
                <w:rFonts w:hint="eastAsia" w:ascii="方正仿宋_GBK" w:hAnsi="宋体"/>
                <w:sz w:val="21"/>
                <w:szCs w:val="21"/>
              </w:rPr>
            </w:pPr>
          </w:p>
        </w:tc>
      </w:tr>
      <w:tr w14:paraId="5251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020673FB">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53C80E0F">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22C0C5EC">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4855DA9C">
            <w:pPr>
              <w:tabs>
                <w:tab w:val="left" w:pos="6300"/>
              </w:tabs>
              <w:spacing w:line="500" w:lineRule="exact"/>
              <w:ind w:firstLine="420"/>
              <w:jc w:val="center"/>
              <w:outlineLvl w:val="0"/>
              <w:rPr>
                <w:rFonts w:hint="eastAsia" w:ascii="方正仿宋_GBK" w:hAnsi="宋体"/>
                <w:sz w:val="21"/>
                <w:szCs w:val="21"/>
              </w:rPr>
            </w:pPr>
          </w:p>
        </w:tc>
      </w:tr>
      <w:tr w14:paraId="0300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60F97ADA">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00E6D8CE">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7B686C49">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19D0A45B">
            <w:pPr>
              <w:tabs>
                <w:tab w:val="left" w:pos="6300"/>
              </w:tabs>
              <w:spacing w:line="500" w:lineRule="exact"/>
              <w:ind w:firstLine="420"/>
              <w:jc w:val="center"/>
              <w:outlineLvl w:val="0"/>
              <w:rPr>
                <w:rFonts w:hint="eastAsia" w:ascii="方正仿宋_GBK" w:hAnsi="宋体"/>
                <w:sz w:val="21"/>
                <w:szCs w:val="21"/>
              </w:rPr>
            </w:pPr>
          </w:p>
        </w:tc>
      </w:tr>
      <w:tr w14:paraId="19AF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5C47EDE8">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3217A5B6">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4E1ECE91">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71C03292">
            <w:pPr>
              <w:tabs>
                <w:tab w:val="left" w:pos="6300"/>
              </w:tabs>
              <w:spacing w:line="500" w:lineRule="exact"/>
              <w:ind w:firstLine="420"/>
              <w:jc w:val="center"/>
              <w:outlineLvl w:val="0"/>
              <w:rPr>
                <w:rFonts w:hint="eastAsia" w:ascii="方正仿宋_GBK" w:hAnsi="宋体"/>
                <w:sz w:val="21"/>
                <w:szCs w:val="21"/>
              </w:rPr>
            </w:pPr>
          </w:p>
        </w:tc>
      </w:tr>
      <w:tr w14:paraId="367A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0" w:type="pct"/>
            <w:noWrap w:val="0"/>
            <w:vAlign w:val="center"/>
          </w:tcPr>
          <w:p w14:paraId="763D5379">
            <w:pPr>
              <w:tabs>
                <w:tab w:val="left" w:pos="6300"/>
              </w:tabs>
              <w:spacing w:line="500" w:lineRule="exact"/>
              <w:ind w:firstLine="420"/>
              <w:jc w:val="center"/>
              <w:outlineLvl w:val="0"/>
              <w:rPr>
                <w:rFonts w:hint="eastAsia" w:ascii="方正仿宋_GBK" w:hAnsi="宋体"/>
                <w:sz w:val="21"/>
                <w:szCs w:val="21"/>
              </w:rPr>
            </w:pPr>
          </w:p>
        </w:tc>
        <w:tc>
          <w:tcPr>
            <w:tcW w:w="1541" w:type="pct"/>
            <w:noWrap w:val="0"/>
            <w:vAlign w:val="center"/>
          </w:tcPr>
          <w:p w14:paraId="57AB346B">
            <w:pPr>
              <w:tabs>
                <w:tab w:val="left" w:pos="6300"/>
              </w:tabs>
              <w:spacing w:line="500" w:lineRule="exact"/>
              <w:ind w:firstLine="420"/>
              <w:jc w:val="center"/>
              <w:outlineLvl w:val="0"/>
              <w:rPr>
                <w:rFonts w:hint="eastAsia" w:ascii="方正仿宋_GBK" w:hAnsi="宋体"/>
                <w:sz w:val="21"/>
                <w:szCs w:val="21"/>
              </w:rPr>
            </w:pPr>
          </w:p>
        </w:tc>
        <w:tc>
          <w:tcPr>
            <w:tcW w:w="1600" w:type="pct"/>
            <w:noWrap w:val="0"/>
            <w:vAlign w:val="center"/>
          </w:tcPr>
          <w:p w14:paraId="06940B6E">
            <w:pPr>
              <w:tabs>
                <w:tab w:val="left" w:pos="6300"/>
              </w:tabs>
              <w:spacing w:line="500" w:lineRule="exact"/>
              <w:ind w:firstLine="420"/>
              <w:jc w:val="center"/>
              <w:outlineLvl w:val="0"/>
              <w:rPr>
                <w:rFonts w:hint="eastAsia" w:ascii="方正仿宋_GBK" w:hAnsi="宋体"/>
                <w:sz w:val="21"/>
                <w:szCs w:val="21"/>
              </w:rPr>
            </w:pPr>
          </w:p>
        </w:tc>
        <w:tc>
          <w:tcPr>
            <w:tcW w:w="1199" w:type="pct"/>
            <w:noWrap w:val="0"/>
            <w:vAlign w:val="center"/>
          </w:tcPr>
          <w:p w14:paraId="0914C7D4">
            <w:pPr>
              <w:tabs>
                <w:tab w:val="left" w:pos="6300"/>
              </w:tabs>
              <w:spacing w:line="500" w:lineRule="exact"/>
              <w:ind w:firstLine="420"/>
              <w:jc w:val="center"/>
              <w:outlineLvl w:val="0"/>
              <w:rPr>
                <w:rFonts w:hint="eastAsia" w:ascii="方正仿宋_GBK" w:hAnsi="宋体"/>
                <w:sz w:val="21"/>
                <w:szCs w:val="21"/>
              </w:rPr>
            </w:pPr>
          </w:p>
        </w:tc>
      </w:tr>
    </w:tbl>
    <w:p w14:paraId="37F5BBDA">
      <w:pPr>
        <w:spacing w:line="500" w:lineRule="exact"/>
        <w:ind w:firstLine="600" w:firstLineChars="250"/>
        <w:rPr>
          <w:rFonts w:hint="eastAsia" w:ascii="方正仿宋_GBK" w:hAnsi="宋体"/>
          <w:szCs w:val="28"/>
        </w:rPr>
      </w:pPr>
      <w:r>
        <w:rPr>
          <w:rFonts w:hint="eastAsia" w:ascii="方正仿宋_GBK" w:hAnsi="宋体"/>
          <w:szCs w:val="28"/>
        </w:rPr>
        <w:t xml:space="preserve">竞选人：                            </w:t>
      </w:r>
      <w:r>
        <w:rPr>
          <w:rFonts w:hint="eastAsia" w:ascii="方正仿宋_GBK" w:hAnsi="宋体"/>
        </w:rPr>
        <w:t>法定代表人（或其授权代表）或自然人：</w:t>
      </w:r>
    </w:p>
    <w:p w14:paraId="1FE9D1AE">
      <w:pPr>
        <w:spacing w:line="500" w:lineRule="exact"/>
        <w:rPr>
          <w:rFonts w:hint="eastAsia" w:ascii="方正仿宋_GBK" w:hAnsi="宋体"/>
          <w:szCs w:val="28"/>
        </w:rPr>
      </w:pPr>
      <w:r>
        <w:rPr>
          <w:rFonts w:hint="eastAsia" w:ascii="方正仿宋_GBK" w:hAnsi="宋体"/>
          <w:szCs w:val="28"/>
        </w:rPr>
        <w:t xml:space="preserve">    </w:t>
      </w:r>
    </w:p>
    <w:p w14:paraId="215B93F4">
      <w:pPr>
        <w:spacing w:line="500" w:lineRule="exact"/>
        <w:ind w:firstLine="720" w:firstLineChars="300"/>
        <w:rPr>
          <w:rFonts w:hint="eastAsia" w:ascii="方正仿宋_GBK" w:hAnsi="宋体"/>
          <w:szCs w:val="28"/>
        </w:rPr>
      </w:pPr>
      <w:r>
        <w:rPr>
          <w:rFonts w:hint="eastAsia" w:ascii="方正仿宋_GBK" w:hAnsi="宋体"/>
          <w:szCs w:val="28"/>
        </w:rPr>
        <w:t>（竞选人公章）                               （签署或盖章）</w:t>
      </w:r>
    </w:p>
    <w:p w14:paraId="09100D3C">
      <w:pPr>
        <w:tabs>
          <w:tab w:val="left" w:pos="6300"/>
        </w:tabs>
        <w:spacing w:line="500" w:lineRule="exact"/>
        <w:rPr>
          <w:rFonts w:hint="eastAsia" w:ascii="方正仿宋_GBK" w:hAnsi="宋体"/>
        </w:rPr>
      </w:pPr>
      <w:r>
        <w:rPr>
          <w:rFonts w:hint="eastAsia" w:ascii="方正仿宋_GBK" w:hAnsi="宋体"/>
          <w:szCs w:val="28"/>
        </w:rPr>
        <w:t xml:space="preserve">                                              年     月     日</w:t>
      </w:r>
    </w:p>
    <w:p w14:paraId="24DB80A7">
      <w:pPr>
        <w:tabs>
          <w:tab w:val="left" w:pos="6300"/>
        </w:tabs>
        <w:spacing w:line="500" w:lineRule="exact"/>
        <w:rPr>
          <w:rFonts w:hint="eastAsia" w:ascii="方正仿宋_GBK" w:hAnsi="宋体"/>
        </w:rPr>
      </w:pPr>
      <w:r>
        <w:rPr>
          <w:rFonts w:hint="eastAsia" w:ascii="方正仿宋_GBK" w:hAnsi="宋体"/>
        </w:rPr>
        <w:t>注：</w:t>
      </w:r>
    </w:p>
    <w:p w14:paraId="2FDCC274">
      <w:pPr>
        <w:tabs>
          <w:tab w:val="left" w:pos="6300"/>
        </w:tabs>
        <w:spacing w:line="500" w:lineRule="exact"/>
        <w:rPr>
          <w:rFonts w:hint="eastAsia" w:ascii="方正仿宋_GBK" w:hAnsi="宋体"/>
        </w:rPr>
      </w:pPr>
      <w:r>
        <w:rPr>
          <w:rFonts w:hint="eastAsia" w:ascii="方正仿宋_GBK" w:hAnsi="宋体"/>
        </w:rPr>
        <w:t>1.</w:t>
      </w:r>
      <w:r>
        <w:rPr>
          <w:rFonts w:hint="eastAsia" w:ascii="方正仿宋_GBK" w:hAnsi="仿宋"/>
        </w:rPr>
        <w:t>本表即为对本项目“第二篇  项目服务需求”中所列条款进行比较和响应；</w:t>
      </w:r>
    </w:p>
    <w:p w14:paraId="536CAEED">
      <w:pPr>
        <w:jc w:val="left"/>
        <w:rPr>
          <w:rFonts w:hint="eastAsia" w:ascii="方正仿宋_GBK" w:hAnsi="宋体"/>
        </w:rPr>
      </w:pPr>
      <w:r>
        <w:rPr>
          <w:rFonts w:hint="eastAsia" w:ascii="方正仿宋_GBK" w:hAnsi="宋体"/>
        </w:rPr>
        <w:t>2.本表可扩展。</w:t>
      </w:r>
    </w:p>
    <w:p w14:paraId="239F2BD5">
      <w:pPr>
        <w:tabs>
          <w:tab w:val="left" w:pos="6300"/>
        </w:tabs>
        <w:rPr>
          <w:rFonts w:hint="eastAsia" w:ascii="方正仿宋_GBK" w:hAnsi="宋体"/>
        </w:rPr>
      </w:pPr>
      <w:r>
        <w:rPr>
          <w:rFonts w:ascii="方正仿宋_GBK" w:hAnsi="宋体"/>
        </w:rPr>
        <w:br w:type="page"/>
      </w:r>
      <w:r>
        <w:rPr>
          <w:rFonts w:hint="eastAsia" w:ascii="方正仿宋_GBK" w:hAnsi="宋体"/>
        </w:rPr>
        <w:t>（二）其他资料（格式自定）</w:t>
      </w:r>
    </w:p>
    <w:p w14:paraId="7734BDD0">
      <w:pPr>
        <w:pStyle w:val="3"/>
        <w:adjustRightInd w:val="0"/>
        <w:spacing w:before="0" w:after="0" w:line="400" w:lineRule="exact"/>
        <w:ind w:firstLine="640"/>
        <w:rPr>
          <w:rFonts w:hint="eastAsia" w:ascii="方正仿宋_GBK" w:hAnsi="宋体" w:eastAsia="方正仿宋_GBK"/>
          <w:sz w:val="24"/>
        </w:rPr>
      </w:pPr>
      <w:bookmarkStart w:id="107" w:name="_Toc313008358"/>
      <w:bookmarkStart w:id="108" w:name="_Toc6864"/>
      <w:bookmarkStart w:id="109" w:name="_Toc76462352"/>
      <w:bookmarkStart w:id="110" w:name="_Toc313888362"/>
      <w:bookmarkStart w:id="111" w:name="_Toc342913421"/>
      <w:r>
        <w:rPr>
          <w:rFonts w:hint="eastAsia" w:ascii="方正仿宋_GBK" w:hAnsi="Arial" w:eastAsia="方正仿宋_GBK" w:cs="Times New Roman"/>
          <w:b/>
          <w:sz w:val="24"/>
          <w:lang w:eastAsia="zh-CN"/>
        </w:rPr>
        <w:t>【</w:t>
      </w:r>
      <w:r>
        <w:rPr>
          <w:rFonts w:hint="eastAsia" w:ascii="方正仿宋_GBK" w:hAnsi="Arial" w:eastAsia="方正仿宋_GBK" w:cs="Times New Roman"/>
          <w:b/>
          <w:sz w:val="24"/>
          <w:lang w:val="en-US" w:eastAsia="zh-CN"/>
        </w:rPr>
        <w:t>提示：</w:t>
      </w:r>
      <w:r>
        <w:rPr>
          <w:rFonts w:hint="eastAsia" w:ascii="方正仿宋_GBK" w:hAnsi="Arial" w:eastAsia="方正仿宋_GBK" w:cs="Times New Roman"/>
          <w:b/>
          <w:sz w:val="24"/>
        </w:rPr>
        <w:t>信用要求</w:t>
      </w:r>
      <w:r>
        <w:rPr>
          <w:rFonts w:hint="eastAsia" w:ascii="方正仿宋_GBK" w:hAnsi="Arial" w:eastAsia="方正仿宋_GBK" w:cs="Times New Roman"/>
          <w:b/>
          <w:sz w:val="24"/>
          <w:lang w:val="en-US" w:eastAsia="zh-CN"/>
        </w:rPr>
        <w:t>承诺，</w:t>
      </w:r>
      <w:r>
        <w:rPr>
          <w:rFonts w:hint="eastAsia" w:ascii="方正仿宋_GBK" w:hAnsi="Arial" w:eastAsia="方正仿宋_GBK" w:cs="Times New Roman"/>
          <w:b/>
          <w:bCs w:val="0"/>
          <w:sz w:val="24"/>
          <w:szCs w:val="24"/>
          <w:lang w:val="en-US" w:eastAsia="zh-CN"/>
        </w:rPr>
        <w:t>格式自拟，</w:t>
      </w:r>
      <w:r>
        <w:rPr>
          <w:rFonts w:hint="eastAsia" w:ascii="方正仿宋_GBK" w:hAnsi="Arial" w:eastAsia="方正仿宋_GBK" w:cs="Times New Roman"/>
          <w:b/>
          <w:bCs w:val="0"/>
          <w:sz w:val="24"/>
          <w:szCs w:val="24"/>
        </w:rPr>
        <w:t>并加盖竞选人单位公章</w:t>
      </w:r>
      <w:r>
        <w:rPr>
          <w:rFonts w:hint="eastAsia" w:ascii="方正仿宋_GBK" w:hAnsi="Arial" w:eastAsia="方正仿宋_GBK" w:cs="Times New Roman"/>
          <w:b/>
          <w:sz w:val="24"/>
          <w:lang w:eastAsia="zh-CN"/>
        </w:rPr>
        <w:t>】</w:t>
      </w:r>
      <w:r>
        <w:rPr>
          <w:rFonts w:ascii="方正仿宋_GBK" w:eastAsia="方正仿宋_GBK"/>
          <w:b w:val="0"/>
        </w:rPr>
        <w:br w:type="page"/>
      </w:r>
      <w:r>
        <w:rPr>
          <w:rFonts w:hint="eastAsia" w:ascii="方正仿宋_GBK" w:hAnsi="宋体" w:eastAsia="方正仿宋_GBK"/>
          <w:sz w:val="24"/>
        </w:rPr>
        <w:t>三、商务部分</w:t>
      </w:r>
      <w:bookmarkEnd w:id="107"/>
      <w:bookmarkEnd w:id="108"/>
      <w:bookmarkEnd w:id="109"/>
      <w:bookmarkEnd w:id="110"/>
      <w:bookmarkEnd w:id="111"/>
    </w:p>
    <w:p w14:paraId="452215FF">
      <w:pPr>
        <w:rPr>
          <w:rFonts w:hint="eastAsia" w:ascii="方正仿宋_GBK" w:hAnsi="宋体"/>
        </w:rPr>
      </w:pPr>
      <w:r>
        <w:rPr>
          <w:rFonts w:hint="eastAsia" w:ascii="方正仿宋_GBK" w:hAnsi="宋体"/>
        </w:rPr>
        <w:t>（一）商务响应偏离表</w:t>
      </w:r>
    </w:p>
    <w:p w14:paraId="607F1F0D">
      <w:pPr>
        <w:rPr>
          <w:rFonts w:hint="eastAsia" w:ascii="方正仿宋_GBK" w:hAnsi="宋体"/>
        </w:rPr>
      </w:pPr>
      <w:r>
        <w:rPr>
          <w:rFonts w:hint="eastAsia" w:ascii="方正仿宋_GBK" w:hAnsi="宋体"/>
        </w:rPr>
        <w:t xml:space="preserve">项目编号：                                </w:t>
      </w:r>
    </w:p>
    <w:p w14:paraId="5356894C">
      <w:pPr>
        <w:rPr>
          <w:rFonts w:hint="eastAsia" w:ascii="方正仿宋_GBK" w:hAnsi="宋体"/>
        </w:rPr>
      </w:pPr>
      <w:r>
        <w:rPr>
          <w:rFonts w:hint="eastAsia" w:ascii="方正仿宋_GBK" w:hAnsi="宋体"/>
        </w:rPr>
        <w:t xml:space="preserve">项目名称： </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989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510" w:type="dxa"/>
            <w:noWrap w:val="0"/>
            <w:vAlign w:val="center"/>
          </w:tcPr>
          <w:p w14:paraId="11A556CC">
            <w:pPr>
              <w:spacing w:line="360" w:lineRule="auto"/>
              <w:ind w:firstLine="420"/>
              <w:rPr>
                <w:rFonts w:hint="eastAsia" w:ascii="方正仿宋_GBK" w:hAnsi="宋体"/>
                <w:sz w:val="21"/>
              </w:rPr>
            </w:pPr>
            <w:r>
              <w:rPr>
                <w:rFonts w:hint="eastAsia" w:ascii="方正仿宋_GBK" w:hAnsi="宋体"/>
                <w:sz w:val="21"/>
              </w:rPr>
              <w:t>序号</w:t>
            </w:r>
          </w:p>
        </w:tc>
        <w:tc>
          <w:tcPr>
            <w:tcW w:w="3179" w:type="dxa"/>
            <w:noWrap w:val="0"/>
            <w:vAlign w:val="center"/>
          </w:tcPr>
          <w:p w14:paraId="0C5939DA">
            <w:pPr>
              <w:tabs>
                <w:tab w:val="left" w:pos="6300"/>
              </w:tabs>
              <w:spacing w:line="360" w:lineRule="auto"/>
              <w:ind w:firstLine="420"/>
              <w:jc w:val="center"/>
              <w:outlineLvl w:val="0"/>
              <w:rPr>
                <w:rFonts w:hint="eastAsia" w:ascii="方正仿宋_GBK" w:hAnsi="宋体"/>
                <w:sz w:val="21"/>
              </w:rPr>
            </w:pPr>
            <w:r>
              <w:rPr>
                <w:rFonts w:hint="eastAsia" w:ascii="方正仿宋_GBK" w:hAnsi="宋体"/>
                <w:sz w:val="21"/>
              </w:rPr>
              <w:t>比选项目商务需求</w:t>
            </w:r>
          </w:p>
        </w:tc>
        <w:tc>
          <w:tcPr>
            <w:tcW w:w="2434" w:type="dxa"/>
            <w:noWrap w:val="0"/>
            <w:vAlign w:val="center"/>
          </w:tcPr>
          <w:p w14:paraId="44BA4257">
            <w:pPr>
              <w:tabs>
                <w:tab w:val="left" w:pos="6300"/>
              </w:tabs>
              <w:spacing w:line="360" w:lineRule="auto"/>
              <w:ind w:firstLine="420"/>
              <w:jc w:val="center"/>
              <w:outlineLvl w:val="0"/>
              <w:rPr>
                <w:rFonts w:hint="eastAsia" w:ascii="方正仿宋_GBK" w:hAnsi="宋体"/>
                <w:sz w:val="21"/>
              </w:rPr>
            </w:pPr>
            <w:r>
              <w:rPr>
                <w:rFonts w:hint="eastAsia" w:ascii="方正仿宋_GBK" w:hAnsi="宋体"/>
                <w:sz w:val="21"/>
              </w:rPr>
              <w:t>响应情况</w:t>
            </w:r>
          </w:p>
        </w:tc>
        <w:tc>
          <w:tcPr>
            <w:tcW w:w="2355" w:type="dxa"/>
            <w:noWrap w:val="0"/>
            <w:vAlign w:val="center"/>
          </w:tcPr>
          <w:p w14:paraId="0100A6C3">
            <w:pPr>
              <w:tabs>
                <w:tab w:val="left" w:pos="6300"/>
              </w:tabs>
              <w:spacing w:line="360" w:lineRule="auto"/>
              <w:ind w:firstLine="420"/>
              <w:jc w:val="center"/>
              <w:outlineLvl w:val="0"/>
              <w:rPr>
                <w:rFonts w:hint="eastAsia" w:ascii="方正仿宋_GBK" w:hAnsi="宋体"/>
                <w:sz w:val="21"/>
              </w:rPr>
            </w:pPr>
            <w:r>
              <w:rPr>
                <w:rFonts w:hint="eastAsia" w:ascii="方正仿宋_GBK" w:hAnsi="宋体"/>
                <w:sz w:val="21"/>
              </w:rPr>
              <w:t>偏离说明</w:t>
            </w:r>
          </w:p>
        </w:tc>
      </w:tr>
      <w:tr w14:paraId="0221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7D2EF2B7">
            <w:pPr>
              <w:tabs>
                <w:tab w:val="left" w:pos="6300"/>
              </w:tabs>
              <w:spacing w:line="360" w:lineRule="auto"/>
              <w:ind w:firstLine="420"/>
              <w:jc w:val="center"/>
              <w:outlineLvl w:val="0"/>
              <w:rPr>
                <w:rFonts w:hint="eastAsia" w:ascii="方正仿宋_GBK" w:hAnsi="宋体"/>
                <w:sz w:val="21"/>
              </w:rPr>
            </w:pPr>
          </w:p>
        </w:tc>
        <w:tc>
          <w:tcPr>
            <w:tcW w:w="3179" w:type="dxa"/>
            <w:noWrap w:val="0"/>
            <w:vAlign w:val="center"/>
          </w:tcPr>
          <w:p w14:paraId="2604C79A">
            <w:pPr>
              <w:tabs>
                <w:tab w:val="left" w:pos="6300"/>
              </w:tabs>
              <w:spacing w:line="360" w:lineRule="auto"/>
              <w:ind w:firstLine="420"/>
              <w:jc w:val="center"/>
              <w:outlineLvl w:val="0"/>
              <w:rPr>
                <w:rFonts w:hint="eastAsia" w:ascii="方正仿宋_GBK" w:hAnsi="宋体"/>
                <w:sz w:val="21"/>
              </w:rPr>
            </w:pPr>
          </w:p>
        </w:tc>
        <w:tc>
          <w:tcPr>
            <w:tcW w:w="2434" w:type="dxa"/>
            <w:noWrap w:val="0"/>
            <w:vAlign w:val="center"/>
          </w:tcPr>
          <w:p w14:paraId="600E997F">
            <w:pPr>
              <w:tabs>
                <w:tab w:val="left" w:pos="6300"/>
              </w:tabs>
              <w:spacing w:line="360" w:lineRule="auto"/>
              <w:ind w:firstLine="420"/>
              <w:outlineLvl w:val="0"/>
              <w:rPr>
                <w:rFonts w:hint="eastAsia" w:ascii="方正仿宋_GBK" w:hAnsi="宋体"/>
                <w:sz w:val="21"/>
              </w:rPr>
            </w:pPr>
            <w:r>
              <w:rPr>
                <w:rFonts w:ascii="方正仿宋_GBK" w:hAnsi="仿宋"/>
                <w:sz w:val="21"/>
                <w:szCs w:val="21"/>
              </w:rPr>
              <w:t>提醒</w:t>
            </w:r>
            <w:r>
              <w:rPr>
                <w:rFonts w:hint="eastAsia" w:ascii="方正仿宋_GBK" w:hAnsi="仿宋"/>
                <w:sz w:val="21"/>
                <w:szCs w:val="21"/>
              </w:rPr>
              <w:t>：</w:t>
            </w:r>
            <w:r>
              <w:rPr>
                <w:rFonts w:ascii="方正仿宋_GBK" w:hAnsi="仿宋"/>
                <w:sz w:val="21"/>
                <w:szCs w:val="21"/>
              </w:rPr>
              <w:t>请注明具体内容以及</w:t>
            </w:r>
            <w:r>
              <w:rPr>
                <w:rFonts w:hint="eastAsia" w:ascii="方正仿宋_GBK" w:hAnsi="仿宋"/>
                <w:sz w:val="21"/>
                <w:szCs w:val="21"/>
              </w:rPr>
              <w:t>竞选文件</w:t>
            </w:r>
            <w:r>
              <w:rPr>
                <w:rFonts w:ascii="方正仿宋_GBK" w:hAnsi="仿宋"/>
                <w:sz w:val="21"/>
                <w:szCs w:val="21"/>
              </w:rPr>
              <w:t>中</w:t>
            </w:r>
            <w:r>
              <w:rPr>
                <w:rFonts w:hint="eastAsia" w:ascii="方正仿宋_GBK" w:hAnsi="仿宋"/>
                <w:sz w:val="21"/>
                <w:szCs w:val="21"/>
              </w:rPr>
              <w:t>具体</w:t>
            </w:r>
            <w:r>
              <w:rPr>
                <w:rFonts w:ascii="方正仿宋_GBK" w:hAnsi="仿宋"/>
                <w:sz w:val="21"/>
                <w:szCs w:val="21"/>
              </w:rPr>
              <w:t>内容</w:t>
            </w:r>
            <w:r>
              <w:rPr>
                <w:rFonts w:hint="eastAsia" w:ascii="方正仿宋_GBK" w:hAnsi="仿宋"/>
                <w:sz w:val="21"/>
                <w:szCs w:val="21"/>
              </w:rPr>
              <w:t>的</w:t>
            </w:r>
            <w:r>
              <w:rPr>
                <w:rFonts w:ascii="方正仿宋_GBK" w:hAnsi="仿宋"/>
                <w:sz w:val="21"/>
                <w:szCs w:val="21"/>
              </w:rPr>
              <w:t>位置（</w:t>
            </w:r>
            <w:r>
              <w:rPr>
                <w:rFonts w:hint="eastAsia" w:ascii="方正仿宋_GBK" w:hAnsi="仿宋"/>
                <w:sz w:val="21"/>
                <w:szCs w:val="21"/>
              </w:rPr>
              <w:t>页码</w:t>
            </w:r>
            <w:r>
              <w:rPr>
                <w:rFonts w:ascii="方正仿宋_GBK" w:hAnsi="仿宋"/>
                <w:sz w:val="21"/>
                <w:szCs w:val="21"/>
              </w:rPr>
              <w:t>）</w:t>
            </w:r>
          </w:p>
        </w:tc>
        <w:tc>
          <w:tcPr>
            <w:tcW w:w="2355" w:type="dxa"/>
            <w:noWrap w:val="0"/>
            <w:vAlign w:val="center"/>
          </w:tcPr>
          <w:p w14:paraId="20273AC7">
            <w:pPr>
              <w:tabs>
                <w:tab w:val="left" w:pos="6300"/>
              </w:tabs>
              <w:spacing w:line="360" w:lineRule="auto"/>
              <w:ind w:firstLine="420"/>
              <w:jc w:val="center"/>
              <w:outlineLvl w:val="0"/>
              <w:rPr>
                <w:rFonts w:hint="eastAsia" w:ascii="方正仿宋_GBK" w:hAnsi="宋体"/>
                <w:sz w:val="21"/>
              </w:rPr>
            </w:pPr>
          </w:p>
        </w:tc>
      </w:tr>
      <w:tr w14:paraId="6FD9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142FC47C">
            <w:pPr>
              <w:tabs>
                <w:tab w:val="left" w:pos="6300"/>
              </w:tabs>
              <w:spacing w:line="360" w:lineRule="auto"/>
              <w:ind w:firstLine="420"/>
              <w:jc w:val="center"/>
              <w:outlineLvl w:val="0"/>
              <w:rPr>
                <w:rFonts w:hint="eastAsia" w:ascii="方正仿宋_GBK" w:hAnsi="宋体"/>
                <w:sz w:val="21"/>
              </w:rPr>
            </w:pPr>
          </w:p>
        </w:tc>
        <w:tc>
          <w:tcPr>
            <w:tcW w:w="3179" w:type="dxa"/>
            <w:noWrap w:val="0"/>
            <w:vAlign w:val="center"/>
          </w:tcPr>
          <w:p w14:paraId="4B7ABACA">
            <w:pPr>
              <w:tabs>
                <w:tab w:val="left" w:pos="6300"/>
              </w:tabs>
              <w:spacing w:line="360" w:lineRule="auto"/>
              <w:ind w:firstLine="420"/>
              <w:jc w:val="center"/>
              <w:outlineLvl w:val="0"/>
              <w:rPr>
                <w:rFonts w:hint="eastAsia" w:ascii="方正仿宋_GBK" w:hAnsi="宋体"/>
                <w:sz w:val="21"/>
              </w:rPr>
            </w:pPr>
          </w:p>
        </w:tc>
        <w:tc>
          <w:tcPr>
            <w:tcW w:w="2434" w:type="dxa"/>
            <w:noWrap w:val="0"/>
            <w:vAlign w:val="center"/>
          </w:tcPr>
          <w:p w14:paraId="6A920379">
            <w:pPr>
              <w:tabs>
                <w:tab w:val="left" w:pos="6300"/>
              </w:tabs>
              <w:spacing w:line="360" w:lineRule="auto"/>
              <w:ind w:firstLine="420"/>
              <w:jc w:val="center"/>
              <w:outlineLvl w:val="0"/>
              <w:rPr>
                <w:rFonts w:hint="eastAsia" w:ascii="方正仿宋_GBK" w:hAnsi="宋体"/>
                <w:sz w:val="21"/>
              </w:rPr>
            </w:pPr>
          </w:p>
        </w:tc>
        <w:tc>
          <w:tcPr>
            <w:tcW w:w="2355" w:type="dxa"/>
            <w:noWrap w:val="0"/>
            <w:vAlign w:val="center"/>
          </w:tcPr>
          <w:p w14:paraId="3D36F06C">
            <w:pPr>
              <w:tabs>
                <w:tab w:val="left" w:pos="6300"/>
              </w:tabs>
              <w:spacing w:line="360" w:lineRule="auto"/>
              <w:ind w:firstLine="420"/>
              <w:jc w:val="center"/>
              <w:outlineLvl w:val="0"/>
              <w:rPr>
                <w:rFonts w:hint="eastAsia" w:ascii="方正仿宋_GBK" w:hAnsi="宋体"/>
                <w:sz w:val="21"/>
              </w:rPr>
            </w:pPr>
          </w:p>
        </w:tc>
      </w:tr>
      <w:tr w14:paraId="76B8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2B34160E">
            <w:pPr>
              <w:tabs>
                <w:tab w:val="left" w:pos="6300"/>
              </w:tabs>
              <w:spacing w:line="360" w:lineRule="auto"/>
              <w:ind w:firstLine="420"/>
              <w:jc w:val="center"/>
              <w:outlineLvl w:val="0"/>
              <w:rPr>
                <w:rFonts w:hint="eastAsia" w:ascii="方正仿宋_GBK" w:hAnsi="宋体"/>
                <w:sz w:val="21"/>
              </w:rPr>
            </w:pPr>
          </w:p>
        </w:tc>
        <w:tc>
          <w:tcPr>
            <w:tcW w:w="3179" w:type="dxa"/>
            <w:noWrap w:val="0"/>
            <w:vAlign w:val="center"/>
          </w:tcPr>
          <w:p w14:paraId="3736DC54">
            <w:pPr>
              <w:tabs>
                <w:tab w:val="left" w:pos="6300"/>
              </w:tabs>
              <w:spacing w:line="360" w:lineRule="auto"/>
              <w:ind w:firstLine="420"/>
              <w:jc w:val="center"/>
              <w:outlineLvl w:val="0"/>
              <w:rPr>
                <w:rFonts w:hint="eastAsia" w:ascii="方正仿宋_GBK" w:hAnsi="宋体"/>
                <w:sz w:val="21"/>
              </w:rPr>
            </w:pPr>
          </w:p>
        </w:tc>
        <w:tc>
          <w:tcPr>
            <w:tcW w:w="2434" w:type="dxa"/>
            <w:noWrap w:val="0"/>
            <w:vAlign w:val="center"/>
          </w:tcPr>
          <w:p w14:paraId="13701D12">
            <w:pPr>
              <w:tabs>
                <w:tab w:val="left" w:pos="6300"/>
              </w:tabs>
              <w:spacing w:line="360" w:lineRule="auto"/>
              <w:ind w:firstLine="420"/>
              <w:jc w:val="center"/>
              <w:outlineLvl w:val="0"/>
              <w:rPr>
                <w:rFonts w:hint="eastAsia" w:ascii="方正仿宋_GBK" w:hAnsi="宋体"/>
                <w:sz w:val="21"/>
              </w:rPr>
            </w:pPr>
          </w:p>
        </w:tc>
        <w:tc>
          <w:tcPr>
            <w:tcW w:w="2355" w:type="dxa"/>
            <w:noWrap w:val="0"/>
            <w:vAlign w:val="center"/>
          </w:tcPr>
          <w:p w14:paraId="26B97D52">
            <w:pPr>
              <w:tabs>
                <w:tab w:val="left" w:pos="6300"/>
              </w:tabs>
              <w:spacing w:line="360" w:lineRule="auto"/>
              <w:ind w:firstLine="420"/>
              <w:jc w:val="center"/>
              <w:outlineLvl w:val="0"/>
              <w:rPr>
                <w:rFonts w:hint="eastAsia" w:ascii="方正仿宋_GBK" w:hAnsi="宋体"/>
                <w:sz w:val="21"/>
              </w:rPr>
            </w:pPr>
          </w:p>
        </w:tc>
      </w:tr>
      <w:tr w14:paraId="584F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58122AB">
            <w:pPr>
              <w:tabs>
                <w:tab w:val="left" w:pos="6300"/>
              </w:tabs>
              <w:spacing w:line="360" w:lineRule="auto"/>
              <w:ind w:firstLine="420"/>
              <w:jc w:val="center"/>
              <w:outlineLvl w:val="0"/>
              <w:rPr>
                <w:rFonts w:hint="eastAsia" w:ascii="方正仿宋_GBK" w:hAnsi="宋体"/>
                <w:sz w:val="21"/>
              </w:rPr>
            </w:pPr>
          </w:p>
        </w:tc>
        <w:tc>
          <w:tcPr>
            <w:tcW w:w="3179" w:type="dxa"/>
            <w:noWrap w:val="0"/>
            <w:vAlign w:val="center"/>
          </w:tcPr>
          <w:p w14:paraId="75FD2D59">
            <w:pPr>
              <w:tabs>
                <w:tab w:val="left" w:pos="6300"/>
              </w:tabs>
              <w:spacing w:line="360" w:lineRule="auto"/>
              <w:ind w:firstLine="420"/>
              <w:jc w:val="center"/>
              <w:outlineLvl w:val="0"/>
              <w:rPr>
                <w:rFonts w:hint="eastAsia" w:ascii="方正仿宋_GBK" w:hAnsi="宋体"/>
                <w:sz w:val="21"/>
              </w:rPr>
            </w:pPr>
          </w:p>
        </w:tc>
        <w:tc>
          <w:tcPr>
            <w:tcW w:w="2434" w:type="dxa"/>
            <w:noWrap w:val="0"/>
            <w:vAlign w:val="center"/>
          </w:tcPr>
          <w:p w14:paraId="5F253250">
            <w:pPr>
              <w:tabs>
                <w:tab w:val="left" w:pos="6300"/>
              </w:tabs>
              <w:spacing w:line="360" w:lineRule="auto"/>
              <w:ind w:firstLine="420"/>
              <w:jc w:val="center"/>
              <w:outlineLvl w:val="0"/>
              <w:rPr>
                <w:rFonts w:hint="eastAsia" w:ascii="方正仿宋_GBK" w:hAnsi="宋体"/>
                <w:sz w:val="21"/>
              </w:rPr>
            </w:pPr>
          </w:p>
        </w:tc>
        <w:tc>
          <w:tcPr>
            <w:tcW w:w="2355" w:type="dxa"/>
            <w:noWrap w:val="0"/>
            <w:vAlign w:val="center"/>
          </w:tcPr>
          <w:p w14:paraId="7CCEE3FB">
            <w:pPr>
              <w:tabs>
                <w:tab w:val="left" w:pos="6300"/>
              </w:tabs>
              <w:spacing w:line="360" w:lineRule="auto"/>
              <w:ind w:firstLine="420"/>
              <w:jc w:val="center"/>
              <w:outlineLvl w:val="0"/>
              <w:rPr>
                <w:rFonts w:hint="eastAsia" w:ascii="方正仿宋_GBK" w:hAnsi="宋体"/>
                <w:sz w:val="21"/>
              </w:rPr>
            </w:pPr>
          </w:p>
        </w:tc>
      </w:tr>
      <w:tr w14:paraId="1263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3FF6E072">
            <w:pPr>
              <w:tabs>
                <w:tab w:val="left" w:pos="6300"/>
              </w:tabs>
              <w:spacing w:line="360" w:lineRule="auto"/>
              <w:ind w:firstLine="420"/>
              <w:jc w:val="center"/>
              <w:outlineLvl w:val="0"/>
              <w:rPr>
                <w:rFonts w:hint="eastAsia" w:ascii="方正仿宋_GBK" w:hAnsi="宋体"/>
                <w:sz w:val="21"/>
              </w:rPr>
            </w:pPr>
          </w:p>
        </w:tc>
        <w:tc>
          <w:tcPr>
            <w:tcW w:w="3179" w:type="dxa"/>
            <w:noWrap w:val="0"/>
            <w:vAlign w:val="center"/>
          </w:tcPr>
          <w:p w14:paraId="651D794B">
            <w:pPr>
              <w:tabs>
                <w:tab w:val="left" w:pos="6300"/>
              </w:tabs>
              <w:spacing w:line="360" w:lineRule="auto"/>
              <w:ind w:firstLine="420"/>
              <w:jc w:val="center"/>
              <w:outlineLvl w:val="0"/>
              <w:rPr>
                <w:rFonts w:hint="eastAsia" w:ascii="方正仿宋_GBK" w:hAnsi="宋体"/>
                <w:sz w:val="21"/>
              </w:rPr>
            </w:pPr>
          </w:p>
        </w:tc>
        <w:tc>
          <w:tcPr>
            <w:tcW w:w="2434" w:type="dxa"/>
            <w:noWrap w:val="0"/>
            <w:vAlign w:val="center"/>
          </w:tcPr>
          <w:p w14:paraId="3A64354A">
            <w:pPr>
              <w:tabs>
                <w:tab w:val="left" w:pos="6300"/>
              </w:tabs>
              <w:spacing w:line="360" w:lineRule="auto"/>
              <w:ind w:firstLine="420"/>
              <w:jc w:val="center"/>
              <w:outlineLvl w:val="0"/>
              <w:rPr>
                <w:rFonts w:hint="eastAsia" w:ascii="方正仿宋_GBK" w:hAnsi="宋体"/>
                <w:sz w:val="21"/>
              </w:rPr>
            </w:pPr>
          </w:p>
        </w:tc>
        <w:tc>
          <w:tcPr>
            <w:tcW w:w="2355" w:type="dxa"/>
            <w:noWrap w:val="0"/>
            <w:vAlign w:val="center"/>
          </w:tcPr>
          <w:p w14:paraId="491A6CD3">
            <w:pPr>
              <w:tabs>
                <w:tab w:val="left" w:pos="6300"/>
              </w:tabs>
              <w:spacing w:line="360" w:lineRule="auto"/>
              <w:ind w:firstLine="420"/>
              <w:jc w:val="center"/>
              <w:outlineLvl w:val="0"/>
              <w:rPr>
                <w:rFonts w:hint="eastAsia" w:ascii="方正仿宋_GBK" w:hAnsi="宋体"/>
                <w:sz w:val="21"/>
              </w:rPr>
            </w:pPr>
          </w:p>
        </w:tc>
      </w:tr>
      <w:tr w14:paraId="3536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14:paraId="1D5CFD1B">
            <w:pPr>
              <w:tabs>
                <w:tab w:val="left" w:pos="6300"/>
              </w:tabs>
              <w:spacing w:line="360" w:lineRule="auto"/>
              <w:ind w:firstLine="420"/>
              <w:jc w:val="center"/>
              <w:outlineLvl w:val="0"/>
              <w:rPr>
                <w:rFonts w:hint="eastAsia" w:ascii="方正仿宋_GBK" w:hAnsi="宋体"/>
                <w:sz w:val="21"/>
              </w:rPr>
            </w:pPr>
          </w:p>
        </w:tc>
        <w:tc>
          <w:tcPr>
            <w:tcW w:w="3179" w:type="dxa"/>
            <w:noWrap w:val="0"/>
            <w:vAlign w:val="center"/>
          </w:tcPr>
          <w:p w14:paraId="060B5C8D">
            <w:pPr>
              <w:tabs>
                <w:tab w:val="left" w:pos="6300"/>
              </w:tabs>
              <w:spacing w:line="360" w:lineRule="auto"/>
              <w:ind w:firstLine="420"/>
              <w:jc w:val="center"/>
              <w:outlineLvl w:val="0"/>
              <w:rPr>
                <w:rFonts w:hint="eastAsia" w:ascii="方正仿宋_GBK" w:hAnsi="宋体"/>
                <w:sz w:val="21"/>
              </w:rPr>
            </w:pPr>
          </w:p>
        </w:tc>
        <w:tc>
          <w:tcPr>
            <w:tcW w:w="2434" w:type="dxa"/>
            <w:noWrap w:val="0"/>
            <w:vAlign w:val="center"/>
          </w:tcPr>
          <w:p w14:paraId="7AEA4990">
            <w:pPr>
              <w:tabs>
                <w:tab w:val="left" w:pos="6300"/>
              </w:tabs>
              <w:spacing w:line="360" w:lineRule="auto"/>
              <w:ind w:firstLine="420"/>
              <w:jc w:val="center"/>
              <w:outlineLvl w:val="0"/>
              <w:rPr>
                <w:rFonts w:hint="eastAsia" w:ascii="方正仿宋_GBK" w:hAnsi="宋体"/>
                <w:sz w:val="21"/>
              </w:rPr>
            </w:pPr>
          </w:p>
        </w:tc>
        <w:tc>
          <w:tcPr>
            <w:tcW w:w="2355" w:type="dxa"/>
            <w:noWrap w:val="0"/>
            <w:vAlign w:val="center"/>
          </w:tcPr>
          <w:p w14:paraId="186D738B">
            <w:pPr>
              <w:tabs>
                <w:tab w:val="left" w:pos="6300"/>
              </w:tabs>
              <w:spacing w:line="360" w:lineRule="auto"/>
              <w:ind w:firstLine="420"/>
              <w:jc w:val="center"/>
              <w:outlineLvl w:val="0"/>
              <w:rPr>
                <w:rFonts w:hint="eastAsia" w:ascii="方正仿宋_GBK" w:hAnsi="宋体"/>
                <w:sz w:val="21"/>
              </w:rPr>
            </w:pPr>
          </w:p>
        </w:tc>
      </w:tr>
    </w:tbl>
    <w:p w14:paraId="6AD016D5">
      <w:pPr>
        <w:spacing w:line="360" w:lineRule="auto"/>
        <w:rPr>
          <w:rFonts w:hint="eastAsia" w:ascii="方正仿宋_GBK" w:hAnsi="宋体"/>
        </w:rPr>
      </w:pPr>
    </w:p>
    <w:p w14:paraId="50DBB86D">
      <w:pPr>
        <w:spacing w:line="500" w:lineRule="exact"/>
        <w:ind w:firstLine="600" w:firstLineChars="250"/>
        <w:rPr>
          <w:rFonts w:hint="eastAsia" w:ascii="方正仿宋_GBK" w:hAnsi="宋体"/>
          <w:szCs w:val="28"/>
        </w:rPr>
      </w:pPr>
      <w:r>
        <w:rPr>
          <w:rFonts w:hint="eastAsia" w:ascii="方正仿宋_GBK" w:hAnsi="宋体"/>
          <w:szCs w:val="28"/>
        </w:rPr>
        <w:t xml:space="preserve">竞选人：                          </w:t>
      </w:r>
      <w:r>
        <w:rPr>
          <w:rFonts w:hint="eastAsia" w:ascii="方正仿宋_GBK" w:hAnsi="宋体"/>
        </w:rPr>
        <w:t>法定代表人（或其授权代表）或自然人：</w:t>
      </w:r>
    </w:p>
    <w:p w14:paraId="57437677">
      <w:pPr>
        <w:spacing w:line="500" w:lineRule="exact"/>
        <w:rPr>
          <w:rFonts w:hint="eastAsia" w:ascii="方正仿宋_GBK" w:hAnsi="宋体"/>
          <w:szCs w:val="28"/>
        </w:rPr>
      </w:pPr>
      <w:r>
        <w:rPr>
          <w:rFonts w:hint="eastAsia" w:ascii="方正仿宋_GBK" w:hAnsi="宋体"/>
          <w:szCs w:val="28"/>
        </w:rPr>
        <w:t xml:space="preserve">    </w:t>
      </w:r>
    </w:p>
    <w:p w14:paraId="560A744B">
      <w:pPr>
        <w:spacing w:line="500" w:lineRule="exact"/>
        <w:ind w:firstLine="360" w:firstLineChars="150"/>
        <w:rPr>
          <w:rFonts w:hint="eastAsia" w:ascii="方正仿宋_GBK" w:hAnsi="宋体"/>
          <w:szCs w:val="28"/>
        </w:rPr>
      </w:pPr>
      <w:r>
        <w:rPr>
          <w:rFonts w:hint="eastAsia" w:ascii="方正仿宋_GBK" w:hAnsi="宋体"/>
          <w:szCs w:val="28"/>
        </w:rPr>
        <w:t>（竞选人公章）                                 （签署或盖章）</w:t>
      </w:r>
    </w:p>
    <w:p w14:paraId="19CE00FB">
      <w:pPr>
        <w:tabs>
          <w:tab w:val="left" w:pos="6300"/>
        </w:tabs>
        <w:spacing w:line="500" w:lineRule="exact"/>
        <w:rPr>
          <w:rFonts w:hint="eastAsia" w:ascii="方正仿宋_GBK" w:hAnsi="宋体"/>
        </w:rPr>
      </w:pPr>
      <w:r>
        <w:rPr>
          <w:rFonts w:hint="eastAsia" w:ascii="方正仿宋_GBK" w:hAnsi="宋体"/>
          <w:szCs w:val="28"/>
        </w:rPr>
        <w:t xml:space="preserve">                                            年     月     日</w:t>
      </w:r>
    </w:p>
    <w:p w14:paraId="3BB210C4">
      <w:pPr>
        <w:tabs>
          <w:tab w:val="left" w:pos="6300"/>
        </w:tabs>
        <w:rPr>
          <w:rFonts w:hint="eastAsia" w:ascii="方正仿宋_GBK" w:hAnsi="宋体"/>
        </w:rPr>
      </w:pPr>
      <w:r>
        <w:rPr>
          <w:rFonts w:hint="eastAsia" w:ascii="方正仿宋_GBK" w:hAnsi="宋体"/>
        </w:rPr>
        <w:t>注：</w:t>
      </w:r>
    </w:p>
    <w:p w14:paraId="12F9DD29">
      <w:pPr>
        <w:tabs>
          <w:tab w:val="left" w:pos="6300"/>
        </w:tabs>
        <w:rPr>
          <w:rFonts w:hint="eastAsia" w:ascii="方正仿宋_GBK" w:hAnsi="宋体"/>
        </w:rPr>
      </w:pPr>
      <w:r>
        <w:rPr>
          <w:rFonts w:hint="eastAsia" w:ascii="方正仿宋_GBK" w:hAnsi="宋体"/>
        </w:rPr>
        <w:t>1.</w:t>
      </w:r>
      <w:r>
        <w:rPr>
          <w:rFonts w:hint="eastAsia" w:ascii="方正仿宋_GBK" w:hAnsi="仿宋"/>
        </w:rPr>
        <w:t>本表即为对本项目“第三篇  项目商务需求”中所列条款进行比较和响应；</w:t>
      </w:r>
    </w:p>
    <w:p w14:paraId="69142565">
      <w:pPr>
        <w:rPr>
          <w:rFonts w:hint="eastAsia" w:ascii="方正仿宋_GBK"/>
          <w:b/>
        </w:rPr>
        <w:sectPr>
          <w:headerReference r:id="rId13" w:type="default"/>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pPr>
      <w:r>
        <w:rPr>
          <w:rFonts w:hint="eastAsia" w:ascii="方正仿宋_GBK" w:hAnsi="宋体"/>
        </w:rPr>
        <w:t>2.本表可扩展。</w:t>
      </w:r>
    </w:p>
    <w:p w14:paraId="79EB87D0">
      <w:pPr>
        <w:rPr>
          <w:rFonts w:hint="eastAsia" w:ascii="方正仿宋_GBK" w:hAnsi="宋体"/>
        </w:rPr>
      </w:pPr>
      <w:bookmarkStart w:id="112" w:name="_Toc283382459"/>
      <w:r>
        <w:rPr>
          <w:rFonts w:hint="eastAsia" w:ascii="方正仿宋_GBK" w:hAnsi="宋体"/>
        </w:rPr>
        <w:t>（二）其它优惠承诺（格式自定）</w:t>
      </w:r>
    </w:p>
    <w:p w14:paraId="19FC41CE">
      <w:pPr>
        <w:rPr>
          <w:rFonts w:hint="eastAsia" w:ascii="方正仿宋_GBK" w:hAnsi="宋体"/>
        </w:rPr>
      </w:pPr>
    </w:p>
    <w:p w14:paraId="2731BB47">
      <w:pPr>
        <w:pStyle w:val="3"/>
        <w:adjustRightInd w:val="0"/>
        <w:spacing w:before="0" w:after="0" w:line="400" w:lineRule="exact"/>
        <w:ind w:firstLine="482"/>
        <w:rPr>
          <w:rFonts w:hint="eastAsia" w:ascii="方正仿宋_GBK" w:hAnsi="宋体" w:eastAsia="方正仿宋_GBK"/>
          <w:sz w:val="24"/>
        </w:rPr>
      </w:pPr>
      <w:r>
        <w:rPr>
          <w:rFonts w:ascii="方正仿宋_GBK" w:hAnsi="宋体" w:eastAsia="方正仿宋_GBK"/>
          <w:sz w:val="24"/>
        </w:rPr>
        <w:br w:type="page"/>
      </w:r>
      <w:bookmarkEnd w:id="112"/>
      <w:bookmarkStart w:id="113" w:name="_Toc342913422"/>
      <w:bookmarkStart w:id="114" w:name="_Toc32586"/>
      <w:bookmarkStart w:id="115" w:name="_Toc76462353"/>
      <w:bookmarkStart w:id="116" w:name="_Toc313008359"/>
      <w:bookmarkStart w:id="117" w:name="_Toc313888363"/>
      <w:r>
        <w:rPr>
          <w:rFonts w:hint="eastAsia" w:ascii="方正仿宋_GBK" w:hAnsi="宋体" w:eastAsia="方正仿宋_GBK"/>
          <w:sz w:val="24"/>
        </w:rPr>
        <w:t>四、资格条件</w:t>
      </w:r>
      <w:bookmarkEnd w:id="113"/>
      <w:bookmarkEnd w:id="114"/>
      <w:bookmarkEnd w:id="115"/>
      <w:bookmarkEnd w:id="116"/>
      <w:bookmarkEnd w:id="117"/>
    </w:p>
    <w:p w14:paraId="0DF1ED22">
      <w:pPr>
        <w:tabs>
          <w:tab w:val="left" w:pos="6300"/>
        </w:tabs>
        <w:rPr>
          <w:rFonts w:hint="eastAsia" w:ascii="方正仿宋_GBK" w:hAnsi="宋体"/>
        </w:rPr>
      </w:pPr>
      <w:r>
        <w:rPr>
          <w:rFonts w:hint="eastAsia" w:ascii="方正仿宋_GBK" w:hAnsi="宋体"/>
        </w:rPr>
        <w:t>（一）法人营业执照（副本）或事业单位法人证书（副本）复印件</w:t>
      </w:r>
    </w:p>
    <w:p w14:paraId="5A1928BF">
      <w:pPr>
        <w:tabs>
          <w:tab w:val="left" w:pos="6300"/>
        </w:tabs>
        <w:rPr>
          <w:rFonts w:hint="eastAsia" w:ascii="方正仿宋_GBK" w:hAnsi="宋体"/>
        </w:rPr>
      </w:pPr>
    </w:p>
    <w:p w14:paraId="3FCDA614">
      <w:pPr>
        <w:tabs>
          <w:tab w:val="left" w:pos="6300"/>
        </w:tabs>
        <w:spacing w:line="500" w:lineRule="exact"/>
        <w:rPr>
          <w:rFonts w:hint="eastAsia" w:ascii="方正仿宋_GBK" w:hAnsi="宋体"/>
        </w:rPr>
      </w:pPr>
    </w:p>
    <w:p w14:paraId="7322F86D">
      <w:pPr>
        <w:tabs>
          <w:tab w:val="left" w:pos="6300"/>
        </w:tabs>
        <w:spacing w:line="500" w:lineRule="exact"/>
        <w:rPr>
          <w:rFonts w:hint="eastAsia" w:ascii="方正仿宋_GBK" w:hAnsi="宋体"/>
        </w:rPr>
      </w:pPr>
    </w:p>
    <w:p w14:paraId="6C8AACBF">
      <w:pPr>
        <w:tabs>
          <w:tab w:val="left" w:pos="6300"/>
        </w:tabs>
        <w:spacing w:line="500" w:lineRule="exact"/>
        <w:rPr>
          <w:rFonts w:hint="eastAsia" w:ascii="方正仿宋_GBK" w:hAnsi="宋体"/>
        </w:rPr>
      </w:pPr>
    </w:p>
    <w:p w14:paraId="65F226A5">
      <w:pPr>
        <w:tabs>
          <w:tab w:val="left" w:pos="6300"/>
        </w:tabs>
        <w:spacing w:line="500" w:lineRule="exact"/>
        <w:rPr>
          <w:rFonts w:hint="eastAsia" w:ascii="方正仿宋_GBK" w:hAnsi="宋体"/>
        </w:rPr>
      </w:pPr>
    </w:p>
    <w:p w14:paraId="6CE77F4A">
      <w:pPr>
        <w:wordWrap w:val="0"/>
        <w:topLinePunct/>
        <w:snapToGrid/>
        <w:spacing w:line="240" w:lineRule="auto"/>
        <w:rPr>
          <w:rFonts w:hint="eastAsia" w:cs="宋体"/>
        </w:rPr>
      </w:pPr>
      <w:r>
        <w:rPr>
          <w:rFonts w:ascii="方正仿宋_GBK" w:hAnsi="宋体"/>
        </w:rPr>
        <w:br w:type="page"/>
      </w:r>
      <w:r>
        <w:rPr>
          <w:rFonts w:hint="eastAsia" w:cs="宋体"/>
        </w:rPr>
        <w:t>（二）法定代表人（负责人）身份证明书（格式）</w:t>
      </w:r>
    </w:p>
    <w:p w14:paraId="6401AD89">
      <w:pPr>
        <w:tabs>
          <w:tab w:val="left" w:pos="6300"/>
        </w:tabs>
        <w:wordWrap w:val="0"/>
        <w:topLinePunct/>
        <w:snapToGrid/>
        <w:spacing w:line="240" w:lineRule="auto"/>
        <w:rPr>
          <w:rFonts w:hint="eastAsia" w:cs="宋体"/>
        </w:rPr>
      </w:pPr>
    </w:p>
    <w:p w14:paraId="4A31D0FC">
      <w:pPr>
        <w:tabs>
          <w:tab w:val="left" w:pos="6300"/>
        </w:tabs>
        <w:wordWrap w:val="0"/>
        <w:topLinePunct/>
        <w:snapToGrid/>
        <w:spacing w:line="240" w:lineRule="auto"/>
        <w:rPr>
          <w:rFonts w:hint="eastAsia" w:cs="宋体"/>
        </w:rPr>
      </w:pPr>
      <w:r>
        <w:rPr>
          <w:rFonts w:hint="eastAsia" w:cs="宋体"/>
        </w:rPr>
        <w:t>比选项目名称：</w:t>
      </w:r>
      <w:r>
        <w:rPr>
          <w:rFonts w:hint="eastAsia" w:cs="宋体"/>
          <w:u w:val="single"/>
        </w:rPr>
        <w:t xml:space="preserve">                                                </w:t>
      </w:r>
    </w:p>
    <w:p w14:paraId="49BD127B">
      <w:pPr>
        <w:tabs>
          <w:tab w:val="left" w:pos="6300"/>
        </w:tabs>
        <w:wordWrap w:val="0"/>
        <w:topLinePunct/>
        <w:snapToGrid/>
        <w:spacing w:line="240" w:lineRule="auto"/>
        <w:rPr>
          <w:rFonts w:hint="eastAsia" w:cs="宋体"/>
        </w:rPr>
      </w:pPr>
    </w:p>
    <w:p w14:paraId="58B21620">
      <w:pPr>
        <w:tabs>
          <w:tab w:val="left" w:pos="6300"/>
        </w:tabs>
        <w:wordWrap w:val="0"/>
        <w:topLinePunct/>
        <w:snapToGrid/>
        <w:spacing w:line="240" w:lineRule="auto"/>
        <w:rPr>
          <w:rFonts w:hint="eastAsia" w:cs="宋体"/>
        </w:rPr>
      </w:pPr>
      <w:r>
        <w:rPr>
          <w:rFonts w:hint="eastAsia" w:cs="宋体"/>
        </w:rPr>
        <w:t>致：</w:t>
      </w:r>
      <w:r>
        <w:rPr>
          <w:rFonts w:hint="eastAsia" w:cs="宋体"/>
          <w:u w:val="single"/>
        </w:rPr>
        <w:t xml:space="preserve">                     </w:t>
      </w:r>
      <w:r>
        <w:rPr>
          <w:rFonts w:hint="eastAsia" w:cs="宋体"/>
        </w:rPr>
        <w:t>（比选代理机构名称）：</w:t>
      </w:r>
    </w:p>
    <w:p w14:paraId="079D5407">
      <w:pPr>
        <w:tabs>
          <w:tab w:val="left" w:pos="6300"/>
        </w:tabs>
        <w:wordWrap w:val="0"/>
        <w:topLinePunct/>
        <w:snapToGrid/>
        <w:spacing w:line="240" w:lineRule="auto"/>
        <w:rPr>
          <w:rFonts w:hint="eastAsia" w:cs="宋体"/>
        </w:rPr>
      </w:pPr>
      <w:r>
        <w:rPr>
          <w:rFonts w:hint="eastAsia" w:cs="宋体"/>
          <w:u w:val="single"/>
        </w:rPr>
        <w:t xml:space="preserve">        </w:t>
      </w:r>
      <w:r>
        <w:rPr>
          <w:rFonts w:hint="eastAsia" w:cs="宋体"/>
        </w:rPr>
        <w:t>（法定代表人（负责人）姓名）在</w:t>
      </w:r>
      <w:r>
        <w:rPr>
          <w:rFonts w:hint="eastAsia" w:cs="宋体"/>
          <w:u w:val="single"/>
        </w:rPr>
        <w:t xml:space="preserve">                       </w:t>
      </w:r>
      <w:r>
        <w:rPr>
          <w:rFonts w:hint="eastAsia" w:cs="宋体"/>
        </w:rPr>
        <w:t>（竞选人名称）任</w:t>
      </w:r>
      <w:r>
        <w:rPr>
          <w:rFonts w:hint="eastAsia" w:cs="宋体"/>
          <w:u w:val="single"/>
        </w:rPr>
        <w:t xml:space="preserve">    </w:t>
      </w:r>
      <w:r>
        <w:rPr>
          <w:rFonts w:hint="eastAsia" w:cs="宋体"/>
        </w:rPr>
        <w:t>（职务名称）职务，是（竞选人名称）</w:t>
      </w:r>
      <w:r>
        <w:rPr>
          <w:rFonts w:hint="eastAsia" w:cs="宋体"/>
          <w:u w:val="single"/>
        </w:rPr>
        <w:t xml:space="preserve">              </w:t>
      </w:r>
      <w:r>
        <w:rPr>
          <w:rFonts w:hint="eastAsia" w:cs="宋体"/>
        </w:rPr>
        <w:t>的法定代表人（负责人）。</w:t>
      </w:r>
    </w:p>
    <w:p w14:paraId="273EC6AB">
      <w:pPr>
        <w:tabs>
          <w:tab w:val="left" w:pos="6300"/>
        </w:tabs>
        <w:wordWrap w:val="0"/>
        <w:topLinePunct/>
        <w:snapToGrid/>
        <w:spacing w:line="240" w:lineRule="auto"/>
        <w:rPr>
          <w:rFonts w:hint="eastAsia" w:cs="宋体"/>
        </w:rPr>
      </w:pPr>
    </w:p>
    <w:p w14:paraId="1EB8F2E1">
      <w:pPr>
        <w:tabs>
          <w:tab w:val="left" w:pos="6300"/>
        </w:tabs>
        <w:wordWrap w:val="0"/>
        <w:topLinePunct/>
        <w:snapToGrid/>
        <w:spacing w:line="240" w:lineRule="auto"/>
        <w:rPr>
          <w:rFonts w:hint="eastAsia" w:cs="宋体"/>
        </w:rPr>
      </w:pPr>
      <w:r>
        <w:rPr>
          <w:rFonts w:hint="eastAsia" w:cs="宋体"/>
        </w:rPr>
        <w:t>特此证明。</w:t>
      </w:r>
    </w:p>
    <w:p w14:paraId="5C9FBC40">
      <w:pPr>
        <w:tabs>
          <w:tab w:val="left" w:pos="6300"/>
        </w:tabs>
        <w:wordWrap w:val="0"/>
        <w:topLinePunct/>
        <w:snapToGrid/>
        <w:spacing w:line="240" w:lineRule="auto"/>
        <w:rPr>
          <w:rFonts w:hint="eastAsia" w:cs="宋体"/>
        </w:rPr>
      </w:pPr>
    </w:p>
    <w:p w14:paraId="3CA3F136">
      <w:pPr>
        <w:tabs>
          <w:tab w:val="left" w:pos="6300"/>
        </w:tabs>
        <w:wordWrap w:val="0"/>
        <w:topLinePunct/>
        <w:snapToGrid/>
        <w:spacing w:line="240" w:lineRule="auto"/>
        <w:rPr>
          <w:rFonts w:hint="eastAsia" w:cs="宋体"/>
        </w:rPr>
      </w:pPr>
    </w:p>
    <w:p w14:paraId="71291E6F">
      <w:pPr>
        <w:tabs>
          <w:tab w:val="left" w:pos="6300"/>
        </w:tabs>
        <w:wordWrap w:val="0"/>
        <w:topLinePunct/>
        <w:snapToGrid/>
        <w:spacing w:line="240" w:lineRule="auto"/>
        <w:rPr>
          <w:rFonts w:hint="eastAsia" w:cs="宋体"/>
        </w:rPr>
      </w:pPr>
    </w:p>
    <w:p w14:paraId="5AAD1CDF">
      <w:pPr>
        <w:tabs>
          <w:tab w:val="left" w:pos="6300"/>
        </w:tabs>
        <w:wordWrap w:val="0"/>
        <w:topLinePunct/>
        <w:snapToGrid/>
        <w:spacing w:line="240" w:lineRule="auto"/>
        <w:rPr>
          <w:rFonts w:hint="eastAsia" w:cs="宋体"/>
        </w:rPr>
      </w:pPr>
      <w:r>
        <w:rPr>
          <w:rFonts w:hint="eastAsia" w:cs="宋体"/>
        </w:rPr>
        <w:t xml:space="preserve">                                             （竞选人公章）</w:t>
      </w:r>
    </w:p>
    <w:p w14:paraId="64DB347D">
      <w:pPr>
        <w:tabs>
          <w:tab w:val="left" w:pos="6300"/>
        </w:tabs>
        <w:wordWrap w:val="0"/>
        <w:topLinePunct/>
        <w:snapToGrid/>
        <w:spacing w:line="240" w:lineRule="auto"/>
        <w:rPr>
          <w:rFonts w:hint="eastAsia" w:cs="宋体"/>
        </w:rPr>
      </w:pPr>
    </w:p>
    <w:p w14:paraId="37CD6506">
      <w:pPr>
        <w:tabs>
          <w:tab w:val="left" w:pos="6300"/>
        </w:tabs>
        <w:wordWrap w:val="0"/>
        <w:topLinePunct/>
        <w:snapToGrid/>
        <w:spacing w:line="240" w:lineRule="auto"/>
        <w:rPr>
          <w:rFonts w:hint="eastAsia" w:cs="宋体"/>
        </w:rPr>
      </w:pPr>
      <w:r>
        <w:rPr>
          <w:rFonts w:hint="eastAsia" w:cs="宋体"/>
        </w:rPr>
        <w:t xml:space="preserve">                                             年   月   日</w:t>
      </w:r>
    </w:p>
    <w:p w14:paraId="1BB13A98">
      <w:pPr>
        <w:tabs>
          <w:tab w:val="left" w:pos="6300"/>
        </w:tabs>
        <w:wordWrap w:val="0"/>
        <w:topLinePunct/>
        <w:snapToGrid/>
        <w:spacing w:line="240" w:lineRule="auto"/>
        <w:rPr>
          <w:rFonts w:hint="eastAsia" w:cs="宋体"/>
        </w:rPr>
      </w:pPr>
      <w:r>
        <w:rPr>
          <w:rFonts w:hint="eastAsia" w:cs="宋体"/>
        </w:rPr>
        <w:t>法定代表人（负责人）电话：XXXXXXX      电子邮箱：XXXXXX@XXXXX（若授权他人办理并签署竞选文件的可不填写）</w:t>
      </w:r>
    </w:p>
    <w:p w14:paraId="3CD8C228">
      <w:pPr>
        <w:tabs>
          <w:tab w:val="left" w:pos="6300"/>
        </w:tabs>
        <w:wordWrap w:val="0"/>
        <w:topLinePunct/>
        <w:snapToGrid/>
        <w:spacing w:line="240" w:lineRule="auto"/>
        <w:rPr>
          <w:rFonts w:hint="eastAsia" w:cs="宋体"/>
        </w:rPr>
      </w:pPr>
      <w:r>
        <w:rPr>
          <w:rFonts w:hint="eastAsia" w:cs="宋体"/>
        </w:rPr>
        <w:t>（附：法定代表人（负责人）身份证正反面复印件）</w:t>
      </w:r>
    </w:p>
    <w:p w14:paraId="32B6FAE4">
      <w:pPr>
        <w:tabs>
          <w:tab w:val="left" w:pos="6300"/>
        </w:tabs>
        <w:wordWrap w:val="0"/>
        <w:topLinePunct/>
        <w:snapToGrid/>
        <w:spacing w:line="240" w:lineRule="auto"/>
        <w:rPr>
          <w:rFonts w:hint="eastAsia" w:cs="宋体"/>
        </w:rPr>
      </w:pPr>
    </w:p>
    <w:p w14:paraId="49C17AD9">
      <w:pPr>
        <w:tabs>
          <w:tab w:val="left" w:pos="6300"/>
        </w:tabs>
        <w:spacing w:line="500" w:lineRule="exact"/>
        <w:rPr>
          <w:rFonts w:hint="eastAsia" w:ascii="方正仿宋_GBK" w:hAnsi="宋体"/>
        </w:rPr>
      </w:pPr>
    </w:p>
    <w:p w14:paraId="1F1A23BF">
      <w:pPr>
        <w:tabs>
          <w:tab w:val="left" w:pos="6300"/>
        </w:tabs>
        <w:spacing w:line="500" w:lineRule="exact"/>
        <w:rPr>
          <w:rFonts w:hint="eastAsia" w:ascii="方正仿宋_GBK" w:hAnsi="宋体"/>
        </w:rPr>
      </w:pPr>
    </w:p>
    <w:p w14:paraId="1FD78CA3">
      <w:pPr>
        <w:tabs>
          <w:tab w:val="left" w:pos="6300"/>
        </w:tabs>
        <w:spacing w:line="500" w:lineRule="exact"/>
        <w:rPr>
          <w:rFonts w:hint="eastAsia" w:ascii="方正仿宋_GBK" w:hAnsi="宋体"/>
        </w:rPr>
      </w:pPr>
    </w:p>
    <w:p w14:paraId="1276A020">
      <w:pPr>
        <w:tabs>
          <w:tab w:val="left" w:pos="6300"/>
        </w:tabs>
        <w:spacing w:line="500" w:lineRule="exact"/>
        <w:rPr>
          <w:rFonts w:hint="eastAsia" w:ascii="方正仿宋_GBK" w:hAnsi="宋体"/>
        </w:rPr>
      </w:pPr>
    </w:p>
    <w:p w14:paraId="26D4E7B1">
      <w:pPr>
        <w:tabs>
          <w:tab w:val="left" w:pos="6300"/>
        </w:tabs>
        <w:spacing w:line="500" w:lineRule="exact"/>
        <w:rPr>
          <w:rFonts w:hint="eastAsia" w:ascii="方正仿宋_GBK" w:hAnsi="宋体"/>
        </w:rPr>
      </w:pPr>
    </w:p>
    <w:p w14:paraId="333CCE54">
      <w:pPr>
        <w:tabs>
          <w:tab w:val="left" w:pos="6300"/>
        </w:tabs>
        <w:spacing w:line="500" w:lineRule="exact"/>
        <w:rPr>
          <w:rFonts w:hint="eastAsia" w:ascii="方正仿宋_GBK" w:hAnsi="宋体"/>
        </w:rPr>
      </w:pPr>
    </w:p>
    <w:p w14:paraId="12CDA5DE">
      <w:pPr>
        <w:tabs>
          <w:tab w:val="left" w:pos="6300"/>
        </w:tabs>
        <w:spacing w:line="500" w:lineRule="exact"/>
        <w:rPr>
          <w:rFonts w:hint="eastAsia" w:ascii="方正仿宋_GBK" w:hAnsi="宋体"/>
        </w:rPr>
      </w:pPr>
    </w:p>
    <w:p w14:paraId="4C2BA2EC">
      <w:pPr>
        <w:wordWrap w:val="0"/>
        <w:topLinePunct/>
        <w:snapToGrid/>
        <w:spacing w:line="240" w:lineRule="auto"/>
        <w:rPr>
          <w:rFonts w:hint="eastAsia" w:cs="宋体"/>
        </w:rPr>
      </w:pPr>
      <w:r>
        <w:br w:type="column"/>
      </w:r>
      <w:r>
        <w:rPr>
          <w:rFonts w:hint="eastAsia" w:cs="宋体"/>
        </w:rPr>
        <w:t>（三）法定代表人（负责人）授权委托书（格式）</w:t>
      </w:r>
    </w:p>
    <w:p w14:paraId="15CC0EC9">
      <w:pPr>
        <w:tabs>
          <w:tab w:val="left" w:pos="6300"/>
        </w:tabs>
        <w:wordWrap w:val="0"/>
        <w:topLinePunct/>
        <w:snapToGrid/>
        <w:spacing w:line="240" w:lineRule="auto"/>
        <w:rPr>
          <w:rFonts w:hint="eastAsia" w:cs="宋体"/>
          <w:szCs w:val="28"/>
        </w:rPr>
      </w:pPr>
    </w:p>
    <w:p w14:paraId="2FA54832">
      <w:pPr>
        <w:tabs>
          <w:tab w:val="left" w:pos="6300"/>
        </w:tabs>
        <w:wordWrap w:val="0"/>
        <w:topLinePunct/>
        <w:snapToGrid/>
        <w:spacing w:line="240" w:lineRule="auto"/>
        <w:rPr>
          <w:rFonts w:hint="eastAsia" w:cs="宋体"/>
        </w:rPr>
      </w:pPr>
      <w:r>
        <w:rPr>
          <w:rFonts w:hint="eastAsia" w:cs="宋体"/>
          <w:szCs w:val="28"/>
        </w:rPr>
        <w:t>比选项目名称</w:t>
      </w:r>
      <w:r>
        <w:rPr>
          <w:rFonts w:hint="eastAsia" w:cs="宋体"/>
        </w:rPr>
        <w:t>：</w:t>
      </w:r>
      <w:r>
        <w:rPr>
          <w:rFonts w:hint="eastAsia" w:cs="宋体"/>
          <w:u w:val="single"/>
        </w:rPr>
        <w:t xml:space="preserve">                                                </w:t>
      </w:r>
    </w:p>
    <w:p w14:paraId="058AEF0E">
      <w:pPr>
        <w:tabs>
          <w:tab w:val="left" w:pos="6300"/>
        </w:tabs>
        <w:wordWrap w:val="0"/>
        <w:topLinePunct/>
        <w:snapToGrid/>
        <w:spacing w:line="240" w:lineRule="auto"/>
        <w:rPr>
          <w:rFonts w:hint="eastAsia" w:cs="宋体"/>
        </w:rPr>
      </w:pPr>
    </w:p>
    <w:p w14:paraId="5E27652B">
      <w:pPr>
        <w:tabs>
          <w:tab w:val="left" w:pos="6300"/>
        </w:tabs>
        <w:wordWrap w:val="0"/>
        <w:topLinePunct/>
        <w:snapToGrid/>
        <w:spacing w:line="240" w:lineRule="auto"/>
        <w:rPr>
          <w:rFonts w:hint="eastAsia" w:cs="宋体"/>
        </w:rPr>
      </w:pPr>
      <w:r>
        <w:rPr>
          <w:rFonts w:hint="eastAsia" w:cs="宋体"/>
        </w:rPr>
        <w:t>致：</w:t>
      </w:r>
      <w:r>
        <w:rPr>
          <w:rFonts w:hint="eastAsia" w:cs="宋体"/>
          <w:u w:val="single"/>
        </w:rPr>
        <w:t xml:space="preserve">                     </w:t>
      </w:r>
      <w:r>
        <w:rPr>
          <w:rFonts w:hint="eastAsia" w:cs="宋体"/>
        </w:rPr>
        <w:t>（比选代理机构名称）：</w:t>
      </w:r>
    </w:p>
    <w:p w14:paraId="4542B50E">
      <w:pPr>
        <w:tabs>
          <w:tab w:val="left" w:pos="6300"/>
        </w:tabs>
        <w:wordWrap w:val="0"/>
        <w:topLinePunct/>
        <w:snapToGrid/>
        <w:spacing w:line="240" w:lineRule="auto"/>
        <w:rPr>
          <w:rFonts w:hint="eastAsia" w:cs="宋体"/>
        </w:rPr>
      </w:pPr>
      <w:r>
        <w:rPr>
          <w:rFonts w:hint="eastAsia" w:cs="宋体"/>
          <w:u w:val="single"/>
        </w:rPr>
        <w:t xml:space="preserve">            </w:t>
      </w:r>
      <w:r>
        <w:rPr>
          <w:rFonts w:hint="eastAsia" w:cs="宋体"/>
        </w:rPr>
        <w:t>（竞选人法定代表人（负责人）名称）是</w:t>
      </w:r>
      <w:r>
        <w:rPr>
          <w:rFonts w:hint="eastAsia" w:cs="宋体"/>
          <w:u w:val="single"/>
        </w:rPr>
        <w:t xml:space="preserve">                    </w:t>
      </w:r>
      <w:r>
        <w:rPr>
          <w:rFonts w:hint="eastAsia" w:cs="宋体"/>
        </w:rPr>
        <w:t>（竞选人名称）的法定代表人（负责人），特授权</w:t>
      </w:r>
      <w:r>
        <w:rPr>
          <w:rFonts w:hint="eastAsia" w:cs="宋体"/>
          <w:u w:val="single"/>
        </w:rPr>
        <w:t xml:space="preserve">          </w:t>
      </w:r>
      <w:r>
        <w:rPr>
          <w:rFonts w:hint="eastAsia" w:cs="宋体"/>
        </w:rPr>
        <w:t>（被授权人姓名及身份证代码）代表我单位全权办理上述项目的比选、报价、签约等具体工作，并签署全部有关文件、协议及合同。</w:t>
      </w:r>
    </w:p>
    <w:p w14:paraId="42334E05">
      <w:pPr>
        <w:tabs>
          <w:tab w:val="left" w:pos="6300"/>
        </w:tabs>
        <w:wordWrap w:val="0"/>
        <w:topLinePunct/>
        <w:snapToGrid/>
        <w:spacing w:line="240" w:lineRule="auto"/>
        <w:rPr>
          <w:rFonts w:hint="eastAsia" w:cs="宋体"/>
        </w:rPr>
      </w:pPr>
      <w:r>
        <w:rPr>
          <w:rFonts w:hint="eastAsia" w:cs="宋体"/>
        </w:rPr>
        <w:t>我单位对被授权人的</w:t>
      </w:r>
      <w:r>
        <w:rPr>
          <w:rFonts w:hint="eastAsia" w:cs="宋体"/>
          <w:szCs w:val="28"/>
        </w:rPr>
        <w:t>签署</w:t>
      </w:r>
      <w:r>
        <w:rPr>
          <w:rFonts w:hint="eastAsia" w:cs="宋体"/>
        </w:rPr>
        <w:t>负全部责任。</w:t>
      </w:r>
    </w:p>
    <w:p w14:paraId="61E15A13">
      <w:pPr>
        <w:tabs>
          <w:tab w:val="left" w:pos="6300"/>
        </w:tabs>
        <w:wordWrap w:val="0"/>
        <w:topLinePunct/>
        <w:snapToGrid/>
        <w:spacing w:line="240" w:lineRule="auto"/>
        <w:rPr>
          <w:rFonts w:hint="eastAsia" w:cs="宋体"/>
        </w:rPr>
      </w:pPr>
      <w:r>
        <w:rPr>
          <w:rFonts w:hint="eastAsia" w:cs="宋体"/>
        </w:rPr>
        <w:t>在撤销授权的书面通知以前，本授权书一直有效。被授权人在授权书有效期内签署的所有文件不因授权的撤销而失效。</w:t>
      </w:r>
    </w:p>
    <w:p w14:paraId="5B2931B4">
      <w:pPr>
        <w:tabs>
          <w:tab w:val="left" w:pos="6300"/>
        </w:tabs>
        <w:wordWrap w:val="0"/>
        <w:topLinePunct/>
        <w:snapToGrid/>
        <w:spacing w:line="240" w:lineRule="auto"/>
        <w:rPr>
          <w:rFonts w:hint="eastAsia" w:cs="宋体"/>
        </w:rPr>
      </w:pPr>
    </w:p>
    <w:p w14:paraId="5C62090A">
      <w:pPr>
        <w:tabs>
          <w:tab w:val="left" w:pos="6300"/>
        </w:tabs>
        <w:wordWrap w:val="0"/>
        <w:topLinePunct/>
        <w:snapToGrid/>
        <w:spacing w:line="240" w:lineRule="auto"/>
        <w:rPr>
          <w:rFonts w:hint="eastAsia" w:cs="宋体"/>
        </w:rPr>
      </w:pPr>
    </w:p>
    <w:p w14:paraId="64D03BB3">
      <w:pPr>
        <w:tabs>
          <w:tab w:val="left" w:pos="6300"/>
        </w:tabs>
        <w:wordWrap w:val="0"/>
        <w:topLinePunct/>
        <w:snapToGrid/>
        <w:spacing w:line="240" w:lineRule="auto"/>
        <w:rPr>
          <w:rFonts w:hint="eastAsia" w:cs="宋体"/>
        </w:rPr>
      </w:pPr>
      <w:r>
        <w:rPr>
          <w:rFonts w:hint="eastAsia" w:cs="宋体"/>
        </w:rPr>
        <w:t>被授权人：                                 竞选人法定代表人（负责人）：</w:t>
      </w:r>
    </w:p>
    <w:p w14:paraId="3C867DBE">
      <w:pPr>
        <w:tabs>
          <w:tab w:val="left" w:pos="6300"/>
        </w:tabs>
        <w:wordWrap w:val="0"/>
        <w:topLinePunct/>
        <w:snapToGrid/>
        <w:spacing w:line="240" w:lineRule="auto"/>
        <w:rPr>
          <w:rFonts w:hint="eastAsia" w:cs="宋体"/>
          <w:szCs w:val="28"/>
        </w:rPr>
      </w:pPr>
      <w:r>
        <w:rPr>
          <w:rFonts w:hint="eastAsia" w:cs="宋体"/>
          <w:szCs w:val="28"/>
        </w:rPr>
        <w:t>（签署或盖章）                                （签署或盖章）</w:t>
      </w:r>
    </w:p>
    <w:p w14:paraId="01A6D6B2">
      <w:pPr>
        <w:tabs>
          <w:tab w:val="left" w:pos="6300"/>
        </w:tabs>
        <w:wordWrap w:val="0"/>
        <w:topLinePunct/>
        <w:snapToGrid/>
        <w:spacing w:line="240" w:lineRule="auto"/>
        <w:rPr>
          <w:rFonts w:hint="eastAsia" w:cs="宋体"/>
          <w:szCs w:val="28"/>
        </w:rPr>
      </w:pPr>
    </w:p>
    <w:p w14:paraId="6F5502C1">
      <w:pPr>
        <w:tabs>
          <w:tab w:val="left" w:pos="6300"/>
        </w:tabs>
        <w:wordWrap w:val="0"/>
        <w:topLinePunct/>
        <w:snapToGrid/>
        <w:spacing w:line="240" w:lineRule="auto"/>
        <w:rPr>
          <w:rFonts w:hint="eastAsia" w:cs="宋体"/>
        </w:rPr>
      </w:pPr>
    </w:p>
    <w:p w14:paraId="59C55674">
      <w:pPr>
        <w:tabs>
          <w:tab w:val="left" w:pos="6300"/>
        </w:tabs>
        <w:wordWrap w:val="0"/>
        <w:topLinePunct/>
        <w:snapToGrid/>
        <w:spacing w:line="240" w:lineRule="auto"/>
        <w:rPr>
          <w:rFonts w:hint="eastAsia" w:cs="宋体"/>
        </w:rPr>
      </w:pPr>
      <w:r>
        <w:rPr>
          <w:rFonts w:hint="eastAsia" w:cs="宋体"/>
        </w:rPr>
        <w:t>（附：被授权人身份证正反面复印件）</w:t>
      </w:r>
    </w:p>
    <w:p w14:paraId="193CB173">
      <w:pPr>
        <w:tabs>
          <w:tab w:val="left" w:pos="6300"/>
        </w:tabs>
        <w:wordWrap w:val="0"/>
        <w:topLinePunct/>
        <w:snapToGrid/>
        <w:spacing w:line="240" w:lineRule="auto"/>
        <w:rPr>
          <w:rFonts w:hint="eastAsia" w:cs="宋体"/>
        </w:rPr>
      </w:pPr>
      <w:r>
        <w:rPr>
          <w:rFonts w:hint="eastAsia" w:cs="宋体"/>
        </w:rPr>
        <w:t xml:space="preserve">                                          </w:t>
      </w:r>
    </w:p>
    <w:p w14:paraId="41A8756F">
      <w:pPr>
        <w:tabs>
          <w:tab w:val="left" w:pos="6300"/>
        </w:tabs>
        <w:wordWrap w:val="0"/>
        <w:topLinePunct/>
        <w:snapToGrid/>
        <w:spacing w:line="240" w:lineRule="auto"/>
        <w:rPr>
          <w:rFonts w:hint="eastAsia" w:cs="宋体"/>
        </w:rPr>
      </w:pPr>
    </w:p>
    <w:p w14:paraId="79C3E9F6">
      <w:pPr>
        <w:tabs>
          <w:tab w:val="left" w:pos="6300"/>
        </w:tabs>
        <w:wordWrap w:val="0"/>
        <w:topLinePunct/>
        <w:snapToGrid/>
        <w:spacing w:line="240" w:lineRule="auto"/>
        <w:rPr>
          <w:rFonts w:hint="eastAsia" w:cs="宋体"/>
        </w:rPr>
      </w:pPr>
    </w:p>
    <w:p w14:paraId="692A8210">
      <w:pPr>
        <w:tabs>
          <w:tab w:val="left" w:pos="6300"/>
        </w:tabs>
        <w:wordWrap w:val="0"/>
        <w:topLinePunct/>
        <w:snapToGrid/>
        <w:spacing w:line="240" w:lineRule="auto"/>
        <w:ind w:right="480"/>
        <w:jc w:val="right"/>
        <w:rPr>
          <w:rFonts w:hint="eastAsia" w:cs="宋体"/>
        </w:rPr>
      </w:pPr>
      <w:r>
        <w:rPr>
          <w:rFonts w:hint="eastAsia" w:cs="宋体"/>
        </w:rPr>
        <w:t>（竞选人公章）</w:t>
      </w:r>
    </w:p>
    <w:p w14:paraId="6346C736">
      <w:pPr>
        <w:tabs>
          <w:tab w:val="left" w:pos="6300"/>
        </w:tabs>
        <w:wordWrap w:val="0"/>
        <w:topLinePunct/>
        <w:snapToGrid/>
        <w:spacing w:line="240" w:lineRule="auto"/>
        <w:ind w:right="480"/>
        <w:jc w:val="right"/>
        <w:rPr>
          <w:rFonts w:hint="eastAsia" w:cs="宋体"/>
        </w:rPr>
      </w:pPr>
      <w:r>
        <w:rPr>
          <w:rFonts w:hint="eastAsia" w:cs="宋体"/>
        </w:rPr>
        <w:t>年   月   日</w:t>
      </w:r>
    </w:p>
    <w:p w14:paraId="70CB4CF1">
      <w:pPr>
        <w:tabs>
          <w:tab w:val="left" w:pos="6300"/>
        </w:tabs>
        <w:wordWrap w:val="0"/>
        <w:topLinePunct/>
        <w:snapToGrid/>
        <w:spacing w:line="240" w:lineRule="auto"/>
        <w:ind w:right="480"/>
        <w:jc w:val="left"/>
        <w:rPr>
          <w:rFonts w:hint="eastAsia" w:cs="宋体"/>
        </w:rPr>
      </w:pPr>
      <w:r>
        <w:rPr>
          <w:rFonts w:hint="eastAsia" w:cs="宋体"/>
        </w:rPr>
        <w:t>被授权人电话：XXXXXXX     电子邮箱：XXXXXX@XXXXX（若法定代表人（负责人）办理并签署竞选文件的可不填写）</w:t>
      </w:r>
    </w:p>
    <w:p w14:paraId="631C543D">
      <w:pPr>
        <w:tabs>
          <w:tab w:val="left" w:pos="6300"/>
        </w:tabs>
        <w:wordWrap w:val="0"/>
        <w:topLinePunct/>
        <w:snapToGrid/>
        <w:spacing w:line="240" w:lineRule="auto"/>
        <w:ind w:right="480"/>
        <w:jc w:val="left"/>
        <w:rPr>
          <w:rFonts w:hint="eastAsia" w:cs="宋体"/>
        </w:rPr>
      </w:pPr>
      <w:r>
        <w:rPr>
          <w:rFonts w:hint="eastAsia" w:cs="宋体"/>
        </w:rPr>
        <w:t>注：</w:t>
      </w:r>
    </w:p>
    <w:p w14:paraId="2857AD89">
      <w:pPr>
        <w:tabs>
          <w:tab w:val="left" w:pos="6300"/>
        </w:tabs>
        <w:wordWrap w:val="0"/>
        <w:topLinePunct/>
        <w:snapToGrid/>
        <w:spacing w:line="240" w:lineRule="auto"/>
        <w:ind w:right="480"/>
        <w:jc w:val="left"/>
        <w:rPr>
          <w:rFonts w:hint="eastAsia" w:cs="宋体"/>
        </w:rPr>
      </w:pPr>
      <w:r>
        <w:rPr>
          <w:rFonts w:hint="eastAsia" w:cs="宋体"/>
        </w:rPr>
        <w:t>1.若为法定代表人（负责人）办理并签署竞选文件的，不提供此文件。</w:t>
      </w:r>
    </w:p>
    <w:p w14:paraId="0FFA9594">
      <w:pPr>
        <w:tabs>
          <w:tab w:val="left" w:pos="6300"/>
        </w:tabs>
        <w:spacing w:line="500" w:lineRule="exact"/>
        <w:ind w:right="480"/>
        <w:jc w:val="left"/>
        <w:rPr>
          <w:rFonts w:hint="eastAsia" w:ascii="方正仿宋_GBK" w:hAnsi="仿宋"/>
        </w:rPr>
      </w:pPr>
    </w:p>
    <w:p w14:paraId="37F29792">
      <w:pPr>
        <w:tabs>
          <w:tab w:val="left" w:pos="6300"/>
        </w:tabs>
        <w:spacing w:line="500" w:lineRule="exact"/>
        <w:rPr>
          <w:rFonts w:hint="eastAsia" w:ascii="方正仿宋_GBK" w:hAnsi="宋体"/>
        </w:rPr>
      </w:pPr>
      <w:r>
        <w:rPr>
          <w:rFonts w:ascii="宋体" w:hAnsi="宋体"/>
        </w:rPr>
        <w:br w:type="column"/>
      </w:r>
      <w:r>
        <w:rPr>
          <w:rFonts w:hint="eastAsia" w:ascii="方正仿宋_GBK" w:hAnsi="宋体"/>
        </w:rPr>
        <w:t>（四）</w:t>
      </w:r>
      <w:r>
        <w:rPr>
          <w:rFonts w:hint="eastAsia" w:ascii="方正仿宋_GBK" w:hAnsi="宋体"/>
          <w:szCs w:val="28"/>
        </w:rPr>
        <w:t>基本资格条件承诺函</w:t>
      </w:r>
    </w:p>
    <w:p w14:paraId="7A99E435">
      <w:pPr>
        <w:tabs>
          <w:tab w:val="left" w:pos="6300"/>
        </w:tabs>
        <w:spacing w:line="500" w:lineRule="exact"/>
        <w:ind w:firstLine="643"/>
        <w:jc w:val="center"/>
        <w:rPr>
          <w:rFonts w:hint="eastAsia" w:ascii="方正仿宋_GBK" w:hAnsi="方正仿宋_GBK" w:cs="方正仿宋_GBK"/>
          <w:b/>
          <w:bCs/>
          <w:sz w:val="32"/>
          <w:szCs w:val="32"/>
        </w:rPr>
      </w:pPr>
      <w:r>
        <w:rPr>
          <w:rFonts w:hint="eastAsia" w:ascii="方正仿宋_GBK" w:hAnsi="方正仿宋_GBK" w:cs="方正仿宋_GBK"/>
          <w:b/>
          <w:bCs/>
          <w:sz w:val="32"/>
          <w:szCs w:val="32"/>
        </w:rPr>
        <w:t>基本资格条件承诺函</w:t>
      </w:r>
    </w:p>
    <w:p w14:paraId="7118BC6A">
      <w:pPr>
        <w:tabs>
          <w:tab w:val="left" w:pos="6300"/>
        </w:tabs>
        <w:spacing w:line="530" w:lineRule="exact"/>
      </w:pPr>
    </w:p>
    <w:p w14:paraId="1723D59F">
      <w:pPr>
        <w:tabs>
          <w:tab w:val="left" w:pos="6300"/>
        </w:tabs>
        <w:spacing w:line="500" w:lineRule="exact"/>
        <w:rPr>
          <w:rFonts w:hint="eastAsia" w:ascii="方正仿宋_GBK" w:hAnsi="仿宋"/>
        </w:rPr>
      </w:pPr>
      <w:r>
        <w:rPr>
          <w:rFonts w:hint="eastAsia" w:ascii="方正仿宋_GBK" w:hAnsi="仿宋"/>
        </w:rPr>
        <w:t>致</w:t>
      </w:r>
      <w:r>
        <w:rPr>
          <w:rFonts w:hint="eastAsia" w:ascii="方正仿宋_GBK" w:hAnsi="仿宋"/>
          <w:u w:val="single"/>
        </w:rPr>
        <w:t xml:space="preserve">                   </w:t>
      </w:r>
      <w:r>
        <w:rPr>
          <w:rFonts w:hint="eastAsia" w:ascii="方正仿宋_GBK" w:hAnsi="仿宋"/>
        </w:rPr>
        <w:t>（比选代理机构名称）：</w:t>
      </w:r>
    </w:p>
    <w:p w14:paraId="124F2513">
      <w:pPr>
        <w:tabs>
          <w:tab w:val="left" w:pos="6300"/>
        </w:tabs>
        <w:spacing w:line="500" w:lineRule="exact"/>
        <w:rPr>
          <w:rFonts w:hint="eastAsia" w:ascii="方正仿宋_GBK" w:hAnsi="仿宋"/>
        </w:rPr>
      </w:pPr>
      <w:r>
        <w:rPr>
          <w:rFonts w:hint="eastAsia" w:ascii="方正仿宋_GBK" w:hAnsi="仿宋"/>
        </w:rPr>
        <w:t xml:space="preserve">    </w:t>
      </w:r>
      <w:r>
        <w:rPr>
          <w:rFonts w:hint="eastAsia" w:ascii="方正仿宋_GBK" w:hAnsi="仿宋"/>
          <w:u w:val="single"/>
        </w:rPr>
        <w:t xml:space="preserve">              </w:t>
      </w:r>
      <w:r>
        <w:rPr>
          <w:rFonts w:hint="eastAsia" w:ascii="方正仿宋_GBK" w:hAnsi="仿宋"/>
        </w:rPr>
        <w:t>（竞选人名称）郑重承诺：</w:t>
      </w:r>
    </w:p>
    <w:p w14:paraId="0BC64D2E">
      <w:pPr>
        <w:tabs>
          <w:tab w:val="left" w:pos="6300"/>
        </w:tabs>
        <w:spacing w:line="500" w:lineRule="exact"/>
        <w:rPr>
          <w:rFonts w:hint="eastAsia" w:ascii="方正仿宋_GBK" w:hAnsi="仿宋"/>
        </w:rPr>
      </w:pPr>
      <w:r>
        <w:rPr>
          <w:rFonts w:hint="eastAsia" w:ascii="方正仿宋_GBK" w:hAnsi="仿宋"/>
        </w:rPr>
        <w:t>1.我方具有独立承担民事责任的能力，具有良好的商业信誉和健全的财务会计制度，具有履行合同所必需的设备和专业技术能力，具</w:t>
      </w:r>
      <w:r>
        <w:rPr>
          <w:rFonts w:hint="eastAsia" w:ascii="方正仿宋_GBK" w:hAnsi="仿宋"/>
          <w:lang w:val="zh-CN"/>
        </w:rPr>
        <w:t>有依法缴纳税收和社会保障金的良好记录</w:t>
      </w:r>
      <w:r>
        <w:rPr>
          <w:rFonts w:hint="eastAsia" w:ascii="方正仿宋_GBK" w:hAnsi="仿宋"/>
        </w:rPr>
        <w:t>，参加竞选前的三年内，在经营活动中没有重大违法记录；</w:t>
      </w:r>
    </w:p>
    <w:p w14:paraId="385E81C8">
      <w:pPr>
        <w:tabs>
          <w:tab w:val="left" w:pos="6300"/>
        </w:tabs>
        <w:spacing w:line="500" w:lineRule="exact"/>
        <w:rPr>
          <w:rFonts w:hint="eastAsia" w:ascii="方正仿宋_GBK" w:hAnsi="仿宋"/>
        </w:rPr>
      </w:pPr>
      <w:r>
        <w:rPr>
          <w:rFonts w:hint="eastAsia" w:ascii="方正仿宋_GBK" w:hAnsi="仿宋"/>
        </w:rPr>
        <w:t>2.我方未列入在信用中国网站（www.creditchina.gov.cn）“失信被执行人”、“重大税收违法案件当事人名单”中。</w:t>
      </w:r>
    </w:p>
    <w:p w14:paraId="45BAD175">
      <w:pPr>
        <w:tabs>
          <w:tab w:val="left" w:pos="6300"/>
        </w:tabs>
        <w:spacing w:line="500" w:lineRule="exact"/>
        <w:rPr>
          <w:rFonts w:hint="eastAsia" w:ascii="方正仿宋_GBK" w:hAnsi="仿宋"/>
        </w:rPr>
      </w:pPr>
      <w:r>
        <w:rPr>
          <w:rFonts w:hint="eastAsia" w:ascii="方正仿宋_GBK" w:hAnsi="仿宋"/>
        </w:rPr>
        <w:t>3.我方在采购项目评审（评标）环节结束后，随时接受比选人、比选代理机构的检查验证，配合提供相关证明材料。</w:t>
      </w:r>
    </w:p>
    <w:p w14:paraId="32F77095">
      <w:pPr>
        <w:tabs>
          <w:tab w:val="left" w:pos="6300"/>
        </w:tabs>
        <w:spacing w:line="500" w:lineRule="exact"/>
        <w:rPr>
          <w:rFonts w:hint="eastAsia" w:ascii="方正仿宋_GBK" w:hAnsi="仿宋"/>
        </w:rPr>
      </w:pPr>
      <w:r>
        <w:rPr>
          <w:rFonts w:hint="eastAsia" w:ascii="方正仿宋_GBK" w:hAnsi="仿宋"/>
        </w:rPr>
        <w:t>我方对以上承诺负全部法律责任。</w:t>
      </w:r>
    </w:p>
    <w:p w14:paraId="7F87FEDA">
      <w:pPr>
        <w:tabs>
          <w:tab w:val="left" w:pos="6300"/>
        </w:tabs>
        <w:spacing w:line="500" w:lineRule="exact"/>
        <w:rPr>
          <w:rFonts w:hint="eastAsia" w:ascii="方正仿宋_GBK" w:hAnsi="仿宋"/>
        </w:rPr>
      </w:pPr>
      <w:r>
        <w:rPr>
          <w:rFonts w:hint="eastAsia" w:ascii="方正仿宋_GBK" w:hAnsi="仿宋"/>
        </w:rPr>
        <w:t>特此承诺。</w:t>
      </w:r>
    </w:p>
    <w:p w14:paraId="2DB72EB0">
      <w:pPr>
        <w:tabs>
          <w:tab w:val="left" w:pos="6300"/>
        </w:tabs>
        <w:spacing w:line="500" w:lineRule="exact"/>
        <w:rPr>
          <w:rFonts w:hint="eastAsia" w:ascii="方正仿宋_GBK" w:hAnsi="仿宋"/>
        </w:rPr>
      </w:pPr>
    </w:p>
    <w:p w14:paraId="034C80D3">
      <w:pPr>
        <w:tabs>
          <w:tab w:val="left" w:pos="6300"/>
        </w:tabs>
        <w:spacing w:line="500" w:lineRule="exact"/>
        <w:jc w:val="right"/>
        <w:rPr>
          <w:rFonts w:hint="eastAsia" w:ascii="方正仿宋_GBK" w:hAnsi="仿宋"/>
        </w:rPr>
      </w:pPr>
      <w:r>
        <w:rPr>
          <w:rFonts w:hint="eastAsia" w:ascii="方正仿宋_GBK" w:hAnsi="仿宋"/>
        </w:rPr>
        <w:t>（竞选人公章）</w:t>
      </w:r>
    </w:p>
    <w:p w14:paraId="295FC790">
      <w:pPr>
        <w:tabs>
          <w:tab w:val="left" w:pos="6300"/>
        </w:tabs>
        <w:spacing w:line="500" w:lineRule="exact"/>
        <w:ind w:firstLine="7920" w:firstLineChars="3300"/>
        <w:rPr>
          <w:rFonts w:hint="eastAsia" w:ascii="方正仿宋_GBK" w:hAnsi="宋体"/>
        </w:rPr>
      </w:pPr>
      <w:r>
        <w:rPr>
          <w:rFonts w:hint="eastAsia" w:ascii="方正仿宋_GBK" w:hAnsi="仿宋"/>
        </w:rPr>
        <w:t>年   月   日</w:t>
      </w:r>
    </w:p>
    <w:p w14:paraId="3D3B4739">
      <w:pPr>
        <w:rPr>
          <w:rFonts w:hint="eastAsia" w:ascii="方正仿宋_GBK" w:hAnsi="宋体"/>
        </w:rPr>
      </w:pPr>
    </w:p>
    <w:p w14:paraId="242356B4">
      <w:pPr>
        <w:pStyle w:val="3"/>
        <w:adjustRightInd w:val="0"/>
        <w:spacing w:before="0" w:after="0" w:line="400" w:lineRule="exact"/>
        <w:ind w:firstLine="560"/>
        <w:rPr>
          <w:rFonts w:hint="eastAsia" w:ascii="方正仿宋_GBK" w:hAnsi="宋体" w:eastAsia="方正仿宋_GBK"/>
          <w:sz w:val="24"/>
        </w:rPr>
      </w:pPr>
      <w:bookmarkStart w:id="118" w:name="_Toc14422"/>
      <w:r>
        <w:rPr>
          <w:rFonts w:ascii="方正仿宋_GBK" w:hAnsi="宋体" w:eastAsia="方正仿宋_GBK"/>
          <w:b w:val="0"/>
          <w:sz w:val="28"/>
        </w:rPr>
        <w:br w:type="page"/>
      </w:r>
      <w:bookmarkStart w:id="119" w:name="_Toc76462354"/>
      <w:bookmarkStart w:id="120" w:name="_Toc26633"/>
      <w:r>
        <w:rPr>
          <w:rFonts w:hint="eastAsia" w:ascii="方正仿宋_GBK" w:hAnsi="宋体" w:eastAsia="方正仿宋_GBK"/>
          <w:sz w:val="24"/>
        </w:rPr>
        <w:t>五、其他资料</w:t>
      </w:r>
      <w:bookmarkEnd w:id="118"/>
      <w:bookmarkEnd w:id="119"/>
      <w:bookmarkEnd w:id="120"/>
    </w:p>
    <w:p w14:paraId="675D9D16">
      <w:pPr>
        <w:rPr>
          <w:rFonts w:hint="eastAsia" w:ascii="方正仿宋_GBK" w:hAnsi="宋体"/>
        </w:rPr>
      </w:pPr>
      <w:r>
        <w:rPr>
          <w:rFonts w:hint="eastAsia" w:ascii="方正仿宋_GBK" w:hAnsi="宋体"/>
        </w:rPr>
        <w:t>（一）其他与项目有关的资料</w:t>
      </w:r>
    </w:p>
    <w:p w14:paraId="1DCBAECA">
      <w:pPr>
        <w:rPr>
          <w:rFonts w:hint="eastAsia" w:ascii="方正仿宋_GBK" w:hAnsi="宋体"/>
        </w:rPr>
      </w:pPr>
      <w:r>
        <w:rPr>
          <w:rFonts w:hint="eastAsia" w:ascii="方正仿宋_GBK" w:hAnsi="宋体"/>
        </w:rPr>
        <w:t>其他与项目有关的资料（自附）：竞选人总体情况介绍、保证金缴纳情况、其他与本项目有关的资料等。</w:t>
      </w:r>
    </w:p>
    <w:p w14:paraId="28C1159A">
      <w:pPr>
        <w:spacing w:line="360" w:lineRule="auto"/>
        <w:rPr>
          <w:rFonts w:hint="eastAsia" w:ascii="方正仿宋_GBK" w:hAnsi="宋体"/>
        </w:rPr>
      </w:pPr>
    </w:p>
    <w:p w14:paraId="40D85990">
      <w:pPr>
        <w:spacing w:line="360" w:lineRule="auto"/>
        <w:jc w:val="center"/>
        <w:rPr>
          <w:rFonts w:hint="eastAsia" w:ascii="方正仿宋_GBK" w:hAnsi="宋体"/>
        </w:rPr>
      </w:pPr>
    </w:p>
    <w:p w14:paraId="10143EFC">
      <w:pPr>
        <w:spacing w:line="360" w:lineRule="auto"/>
        <w:jc w:val="center"/>
        <w:rPr>
          <w:rFonts w:hint="eastAsia" w:ascii="方正仿宋_GBK" w:hAnsi="宋体"/>
        </w:rPr>
      </w:pPr>
    </w:p>
    <w:p w14:paraId="213CA771">
      <w:pPr>
        <w:spacing w:line="360" w:lineRule="auto"/>
        <w:jc w:val="center"/>
        <w:rPr>
          <w:rFonts w:hint="eastAsia" w:ascii="方正仿宋_GBK" w:hAnsi="宋体"/>
        </w:rPr>
      </w:pPr>
    </w:p>
    <w:p w14:paraId="2BABAA4E">
      <w:pPr>
        <w:spacing w:line="360" w:lineRule="auto"/>
        <w:jc w:val="center"/>
        <w:rPr>
          <w:rFonts w:hint="eastAsia" w:ascii="方正仿宋_GBK" w:hAnsi="宋体"/>
        </w:rPr>
      </w:pPr>
    </w:p>
    <w:p w14:paraId="008C6380">
      <w:pPr>
        <w:spacing w:line="360" w:lineRule="auto"/>
        <w:jc w:val="center"/>
        <w:rPr>
          <w:rFonts w:hint="eastAsia" w:ascii="方正仿宋_GBK" w:hAnsi="宋体"/>
        </w:rPr>
      </w:pPr>
    </w:p>
    <w:p w14:paraId="42CFBBDC">
      <w:pPr>
        <w:spacing w:line="360" w:lineRule="auto"/>
        <w:jc w:val="center"/>
        <w:rPr>
          <w:rFonts w:hint="eastAsia" w:ascii="方正仿宋_GBK" w:hAnsi="宋体"/>
        </w:rPr>
      </w:pPr>
    </w:p>
    <w:p w14:paraId="2A2BACCE">
      <w:pPr>
        <w:spacing w:line="360" w:lineRule="auto"/>
        <w:jc w:val="center"/>
        <w:rPr>
          <w:rFonts w:hint="eastAsia" w:ascii="方正仿宋_GBK" w:hAnsi="宋体"/>
        </w:rPr>
      </w:pPr>
    </w:p>
    <w:p w14:paraId="297821D7">
      <w:pPr>
        <w:spacing w:line="360" w:lineRule="auto"/>
        <w:jc w:val="center"/>
        <w:rPr>
          <w:rFonts w:hint="eastAsia" w:ascii="方正仿宋_GBK" w:hAnsi="宋体"/>
        </w:rPr>
      </w:pPr>
    </w:p>
    <w:p w14:paraId="0279F832">
      <w:pPr>
        <w:spacing w:line="360" w:lineRule="auto"/>
        <w:jc w:val="center"/>
        <w:rPr>
          <w:rFonts w:hint="eastAsia" w:ascii="方正仿宋_GBK" w:hAnsi="宋体"/>
        </w:rPr>
      </w:pPr>
    </w:p>
    <w:p w14:paraId="38D921A1">
      <w:pPr>
        <w:spacing w:line="360" w:lineRule="auto"/>
        <w:jc w:val="center"/>
        <w:rPr>
          <w:rFonts w:hint="eastAsia" w:ascii="方正仿宋_GBK" w:hAnsi="宋体"/>
        </w:rPr>
      </w:pPr>
    </w:p>
    <w:p w14:paraId="482270F7">
      <w:pPr>
        <w:spacing w:line="360" w:lineRule="auto"/>
        <w:jc w:val="center"/>
        <w:rPr>
          <w:rFonts w:hint="eastAsia" w:ascii="方正仿宋_GBK" w:hAnsi="宋体"/>
        </w:rPr>
      </w:pPr>
    </w:p>
    <w:p w14:paraId="153A3837">
      <w:pPr>
        <w:spacing w:line="360" w:lineRule="auto"/>
        <w:jc w:val="center"/>
        <w:rPr>
          <w:rFonts w:hint="eastAsia" w:ascii="方正仿宋_GBK" w:hAnsi="宋体"/>
        </w:rPr>
      </w:pPr>
    </w:p>
    <w:p w14:paraId="682AF88E">
      <w:pPr>
        <w:spacing w:line="360" w:lineRule="auto"/>
        <w:jc w:val="center"/>
        <w:rPr>
          <w:rFonts w:hint="eastAsia" w:ascii="方正仿宋_GBK" w:hAnsi="宋体"/>
        </w:rPr>
      </w:pPr>
    </w:p>
    <w:p w14:paraId="29250386">
      <w:pPr>
        <w:spacing w:line="360" w:lineRule="auto"/>
        <w:jc w:val="center"/>
        <w:rPr>
          <w:rFonts w:hint="eastAsia" w:ascii="方正仿宋_GBK" w:hAnsi="宋体"/>
        </w:rPr>
      </w:pPr>
    </w:p>
    <w:p w14:paraId="59AF8299">
      <w:pPr>
        <w:spacing w:line="360" w:lineRule="auto"/>
        <w:jc w:val="center"/>
        <w:rPr>
          <w:rFonts w:hint="eastAsia" w:ascii="方正仿宋_GBK" w:hAnsi="宋体"/>
        </w:rPr>
      </w:pPr>
    </w:p>
    <w:p w14:paraId="6791FE8A">
      <w:pPr>
        <w:spacing w:line="360" w:lineRule="auto"/>
        <w:jc w:val="center"/>
        <w:outlineLvl w:val="0"/>
        <w:rPr>
          <w:rFonts w:hint="eastAsia" w:ascii="方正仿宋_GBK" w:hAnsi="宋体"/>
        </w:rPr>
      </w:pPr>
      <w:r>
        <w:rPr>
          <w:rFonts w:hint="eastAsia" w:ascii="方正仿宋_GBK" w:hAnsi="宋体"/>
        </w:rPr>
        <w:t>（结束）</w:t>
      </w:r>
    </w:p>
    <w:sectPr>
      <w:pgSz w:w="11907" w:h="16840"/>
      <w:pgMar w:top="1134" w:right="1191" w:bottom="1134" w:left="1304" w:header="851" w:footer="992" w:gutter="0"/>
      <w:pgBorders>
        <w:top w:val="none" w:sz="0" w:space="0"/>
        <w:left w:val="none" w:sz="0" w:space="0"/>
        <w:bottom w:val="none" w:sz="0" w:space="0"/>
        <w:right w:val="none" w:sz="0" w:space="0"/>
      </w:pgBorders>
      <w:pgNumType w:fmt="numberInDash"/>
      <w:cols w:space="720" w:num="1"/>
      <w:docGrid w:linePitch="380" w:charSpace="-57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741E3B7-6D01-4702-B236-E77822140E9E}"/>
  </w:font>
  <w:font w:name="黑体">
    <w:panose1 w:val="02010609060101010101"/>
    <w:charset w:val="86"/>
    <w:family w:val="auto"/>
    <w:pitch w:val="default"/>
    <w:sig w:usb0="800002BF" w:usb1="38CF7CFA" w:usb2="00000016" w:usb3="00000000" w:csb0="00040001" w:csb1="00000000"/>
    <w:embedRegular r:id="rId2" w:fontKey="{A5CCD840-75A7-4477-B101-1809511411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1EBB22E-07C7-4D09-A993-BC53FBFBF836}"/>
  </w:font>
  <w:font w:name="方正仿宋_GBK">
    <w:panose1 w:val="03000509000000000000"/>
    <w:charset w:val="86"/>
    <w:family w:val="script"/>
    <w:pitch w:val="default"/>
    <w:sig w:usb0="00000001" w:usb1="080E0000" w:usb2="00000000" w:usb3="00000000" w:csb0="00040000" w:csb1="00000000"/>
    <w:embedRegular r:id="rId4" w:fontKey="{86D42091-5891-460A-A2D3-9A31667113A9}"/>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auto"/>
    <w:pitch w:val="default"/>
    <w:sig w:usb0="00000000" w:usb1="00000000" w:usb2="00000000" w:usb3="00000000" w:csb0="00040000" w:csb1="00000000"/>
    <w:embedRegular r:id="rId5" w:fontKey="{42952FB4-BE87-45CB-8763-53F95417905D}"/>
  </w:font>
  <w:font w:name="仿宋">
    <w:panose1 w:val="02010609060101010101"/>
    <w:charset w:val="86"/>
    <w:family w:val="modern"/>
    <w:pitch w:val="default"/>
    <w:sig w:usb0="800002BF" w:usb1="38CF7CFA" w:usb2="00000016" w:usb3="00000000" w:csb0="00040001" w:csb1="00000000"/>
    <w:embedRegular r:id="rId6" w:fontKey="{7A51603D-F004-4B65-9EA6-5F13027318F4}"/>
  </w:font>
  <w:font w:name="_x000B__x000C_">
    <w:altName w:val="Times New Roman"/>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7" w:fontKey="{6B46DE59-5C17-445A-ABA1-9D3592B7B92E}"/>
  </w:font>
  <w:font w:name="方正黑体_GBK">
    <w:panose1 w:val="03000509000000000000"/>
    <w:charset w:val="86"/>
    <w:family w:val="script"/>
    <w:pitch w:val="default"/>
    <w:sig w:usb0="00000001" w:usb1="080E0000" w:usb2="00000000" w:usb3="00000000" w:csb0="00040000" w:csb1="00000000"/>
    <w:embedRegular r:id="rId8" w:fontKey="{6A411F2C-81C8-49AB-892A-E0C1346A672D}"/>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3AED9">
    <w:pPr>
      <w:pStyle w:val="36"/>
      <w:framePr w:wrap="around" w:vAnchor="text" w:hAnchor="margin" w:xAlign="center" w:y="1"/>
      <w:ind w:firstLine="420"/>
      <w:jc w:val="center"/>
      <w:rPr>
        <w:rStyle w:val="62"/>
        <w:rFonts w:hint="eastAsia" w:ascii="宋体"/>
        <w:sz w:val="21"/>
        <w:szCs w:val="21"/>
      </w:rPr>
    </w:pPr>
    <w:r>
      <w:rPr>
        <w:rFonts w:ascii="宋体"/>
        <w:sz w:val="21"/>
        <w:szCs w:val="21"/>
      </w:rPr>
      <w:fldChar w:fldCharType="begin"/>
    </w:r>
    <w:r>
      <w:rPr>
        <w:rStyle w:val="62"/>
        <w:rFonts w:ascii="宋体"/>
        <w:sz w:val="21"/>
        <w:szCs w:val="21"/>
      </w:rPr>
      <w:instrText xml:space="preserve">PAGE  </w:instrText>
    </w:r>
    <w:r>
      <w:rPr>
        <w:rFonts w:ascii="宋体"/>
        <w:sz w:val="21"/>
        <w:szCs w:val="21"/>
      </w:rPr>
      <w:fldChar w:fldCharType="separate"/>
    </w:r>
    <w:r>
      <w:rPr>
        <w:rStyle w:val="62"/>
        <w:rFonts w:ascii="宋体"/>
        <w:sz w:val="21"/>
        <w:szCs w:val="21"/>
      </w:rPr>
      <w:t>- 2 -</w:t>
    </w:r>
    <w:r>
      <w:rPr>
        <w:rFonts w:ascii="宋体"/>
        <w:sz w:val="21"/>
        <w:szCs w:val="21"/>
      </w:rPr>
      <w:fldChar w:fldCharType="end"/>
    </w:r>
  </w:p>
  <w:p w14:paraId="7345137F">
    <w:pPr>
      <w:pStyle w:val="3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69E7E">
    <w:pPr>
      <w:pStyle w:val="36"/>
      <w:framePr w:wrap="around" w:vAnchor="text" w:hAnchor="margin" w:xAlign="center" w:y="1"/>
      <w:ind w:firstLine="360"/>
      <w:rPr>
        <w:rStyle w:val="62"/>
      </w:rPr>
    </w:pPr>
    <w:r>
      <w:fldChar w:fldCharType="begin"/>
    </w:r>
    <w:r>
      <w:rPr>
        <w:rStyle w:val="62"/>
      </w:rPr>
      <w:instrText xml:space="preserve">PAGE  </w:instrText>
    </w:r>
    <w:r>
      <w:fldChar w:fldCharType="separate"/>
    </w:r>
    <w:r>
      <w:fldChar w:fldCharType="end"/>
    </w:r>
  </w:p>
  <w:p w14:paraId="7413057C">
    <w:pPr>
      <w:pStyle w:val="3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7DB81">
    <w:pPr>
      <w:pStyle w:val="36"/>
      <w:framePr w:wrap="around" w:vAnchor="text" w:hAnchor="margin" w:xAlign="center" w:y="1"/>
      <w:ind w:firstLine="360"/>
      <w:rPr>
        <w:rStyle w:val="62"/>
      </w:rPr>
    </w:pPr>
  </w:p>
  <w:p w14:paraId="2B1631B7">
    <w:pPr>
      <w:pStyle w:val="36"/>
      <w:ind w:firstLine="560"/>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7BC27">
    <w:pPr>
      <w:pStyle w:val="36"/>
      <w:ind w:firstLine="420"/>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- 18 -</w:t>
    </w:r>
    <w:r>
      <w:rPr>
        <w:rFonts w:ascii="宋体" w:hAnsi="宋体"/>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D14AB">
    <w:pPr>
      <w:pStyle w:val="36"/>
      <w:framePr w:wrap="around" w:vAnchor="text" w:hAnchor="margin" w:xAlign="center" w:y="1"/>
      <w:ind w:firstLine="360"/>
      <w:rPr>
        <w:rStyle w:val="62"/>
      </w:rPr>
    </w:pPr>
    <w:r>
      <w:fldChar w:fldCharType="begin"/>
    </w:r>
    <w:r>
      <w:rPr>
        <w:rStyle w:val="62"/>
      </w:rPr>
      <w:instrText xml:space="preserve">PAGE  </w:instrText>
    </w:r>
    <w:r>
      <w:fldChar w:fldCharType="separate"/>
    </w:r>
    <w:r>
      <w:fldChar w:fldCharType="end"/>
    </w:r>
  </w:p>
  <w:p w14:paraId="2D9F4EEB">
    <w:pPr>
      <w:pStyle w:val="36"/>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51109">
    <w:pPr>
      <w:pStyle w:val="36"/>
      <w:ind w:firstLine="420"/>
      <w:jc w:val="center"/>
      <w:rPr>
        <w:rFonts w:hint="eastAsia"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- 50 -</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AAFA8">
    <w:pPr>
      <w:pStyle w:val="37"/>
      <w:ind w:firstLine="420"/>
      <w:jc w:val="both"/>
      <w:rPr>
        <w:rFonts w:hint="eastAsia" w:ascii="方正仿宋_GBK"/>
        <w:sz w:val="21"/>
        <w:szCs w:val="21"/>
      </w:rPr>
    </w:pPr>
    <w:r>
      <w:rPr>
        <w:rFonts w:hint="eastAsia" w:ascii="方正仿宋_GBK"/>
        <w:sz w:val="21"/>
        <w:szCs w:val="21"/>
      </w:rPr>
      <w:t xml:space="preserve">                                                                   竞争性比选文件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D9B94">
    <w:pPr>
      <w:pStyle w:val="37"/>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B8935">
    <w:pPr>
      <w:pStyle w:val="37"/>
      <w:ind w:firstLine="420"/>
      <w:jc w:val="both"/>
      <w:rPr>
        <w:rFonts w:hint="eastAsia" w:ascii="方正仿宋_GBK"/>
        <w:sz w:val="21"/>
        <w:szCs w:val="21"/>
      </w:rPr>
    </w:pPr>
    <w:r>
      <w:rPr>
        <w:rFonts w:hint="eastAsia" w:ascii="方正仿宋_GBK"/>
        <w:sz w:val="21"/>
        <w:szCs w:val="21"/>
      </w:rPr>
      <w:t xml:space="preserve">                                                             竞争性比选文件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B672E8"/>
    <w:multiLevelType w:val="singleLevel"/>
    <w:tmpl w:val="F0B672E8"/>
    <w:lvl w:ilvl="0" w:tentative="0">
      <w:start w:val="2"/>
      <w:numFmt w:val="decimal"/>
      <w:suff w:val="nothing"/>
      <w:lvlText w:val="（%1）"/>
      <w:lvlJc w:val="left"/>
    </w:lvl>
  </w:abstractNum>
  <w:abstractNum w:abstractNumId="1">
    <w:nsid w:val="00000009"/>
    <w:multiLevelType w:val="multilevel"/>
    <w:tmpl w:val="00000009"/>
    <w:lvl w:ilvl="0" w:tentative="0">
      <w:start w:val="1"/>
      <w:numFmt w:val="upperLetter"/>
      <w:pStyle w:val="12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4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71"/>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0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3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9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33"/>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3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6"/>
  </w:num>
  <w:num w:numId="3">
    <w:abstractNumId w:val="4"/>
  </w:num>
  <w:num w:numId="4">
    <w:abstractNumId w:val="10"/>
  </w:num>
  <w:num w:numId="5">
    <w:abstractNumId w:val="1"/>
  </w:num>
  <w:num w:numId="6">
    <w:abstractNumId w:val="7"/>
  </w:num>
  <w:num w:numId="7">
    <w:abstractNumId w:val="12"/>
  </w:num>
  <w:num w:numId="8">
    <w:abstractNumId w:val="2"/>
  </w:num>
  <w:num w:numId="9">
    <w:abstractNumId w:val="3"/>
  </w:num>
  <w:num w:numId="10">
    <w:abstractNumId w:val="8"/>
  </w:num>
  <w:num w:numId="11">
    <w:abstractNumId w:val="5"/>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14C5"/>
    <w:rsid w:val="00002AE4"/>
    <w:rsid w:val="00003626"/>
    <w:rsid w:val="000040DE"/>
    <w:rsid w:val="000070F0"/>
    <w:rsid w:val="000075E8"/>
    <w:rsid w:val="00011B4B"/>
    <w:rsid w:val="000168CC"/>
    <w:rsid w:val="00016B79"/>
    <w:rsid w:val="00017816"/>
    <w:rsid w:val="00027FAC"/>
    <w:rsid w:val="00032ACA"/>
    <w:rsid w:val="0003632F"/>
    <w:rsid w:val="00043835"/>
    <w:rsid w:val="0004739C"/>
    <w:rsid w:val="00051E02"/>
    <w:rsid w:val="000523C9"/>
    <w:rsid w:val="0005298B"/>
    <w:rsid w:val="0005417C"/>
    <w:rsid w:val="00056D0B"/>
    <w:rsid w:val="000576E1"/>
    <w:rsid w:val="00061A7C"/>
    <w:rsid w:val="00063981"/>
    <w:rsid w:val="00074C38"/>
    <w:rsid w:val="000816AD"/>
    <w:rsid w:val="00082CC1"/>
    <w:rsid w:val="00090C5A"/>
    <w:rsid w:val="00091B1C"/>
    <w:rsid w:val="00091D22"/>
    <w:rsid w:val="000A164E"/>
    <w:rsid w:val="000A3057"/>
    <w:rsid w:val="000B1068"/>
    <w:rsid w:val="000B3002"/>
    <w:rsid w:val="000B42F4"/>
    <w:rsid w:val="000B7377"/>
    <w:rsid w:val="000B7F54"/>
    <w:rsid w:val="000C08C1"/>
    <w:rsid w:val="000C1E0E"/>
    <w:rsid w:val="000C20E6"/>
    <w:rsid w:val="000C2C03"/>
    <w:rsid w:val="000C6D89"/>
    <w:rsid w:val="000D776F"/>
    <w:rsid w:val="000E01C9"/>
    <w:rsid w:val="000E0DD7"/>
    <w:rsid w:val="000E3259"/>
    <w:rsid w:val="000E4835"/>
    <w:rsid w:val="000E5AB0"/>
    <w:rsid w:val="000F302A"/>
    <w:rsid w:val="000F3D5B"/>
    <w:rsid w:val="000F64D7"/>
    <w:rsid w:val="000F7DBF"/>
    <w:rsid w:val="0010014A"/>
    <w:rsid w:val="00100639"/>
    <w:rsid w:val="0010088E"/>
    <w:rsid w:val="001028FD"/>
    <w:rsid w:val="00105638"/>
    <w:rsid w:val="0010716D"/>
    <w:rsid w:val="001140DC"/>
    <w:rsid w:val="00114CFE"/>
    <w:rsid w:val="00115337"/>
    <w:rsid w:val="001166B8"/>
    <w:rsid w:val="0011683E"/>
    <w:rsid w:val="00116856"/>
    <w:rsid w:val="00116C42"/>
    <w:rsid w:val="0011780F"/>
    <w:rsid w:val="00117B26"/>
    <w:rsid w:val="00120259"/>
    <w:rsid w:val="00122F9D"/>
    <w:rsid w:val="001264A8"/>
    <w:rsid w:val="001266BF"/>
    <w:rsid w:val="00127BFA"/>
    <w:rsid w:val="00133D16"/>
    <w:rsid w:val="00134037"/>
    <w:rsid w:val="001342AC"/>
    <w:rsid w:val="00135BAE"/>
    <w:rsid w:val="00137408"/>
    <w:rsid w:val="00145224"/>
    <w:rsid w:val="00146EC3"/>
    <w:rsid w:val="00147FB4"/>
    <w:rsid w:val="0015011C"/>
    <w:rsid w:val="00150204"/>
    <w:rsid w:val="0015033B"/>
    <w:rsid w:val="00150429"/>
    <w:rsid w:val="001523C5"/>
    <w:rsid w:val="00152B00"/>
    <w:rsid w:val="00152CAD"/>
    <w:rsid w:val="00153556"/>
    <w:rsid w:val="0016265A"/>
    <w:rsid w:val="00171E05"/>
    <w:rsid w:val="00180ACB"/>
    <w:rsid w:val="00181A6C"/>
    <w:rsid w:val="00183B60"/>
    <w:rsid w:val="00186623"/>
    <w:rsid w:val="001879FD"/>
    <w:rsid w:val="0019571D"/>
    <w:rsid w:val="001963A2"/>
    <w:rsid w:val="00196465"/>
    <w:rsid w:val="001A1B93"/>
    <w:rsid w:val="001A64A1"/>
    <w:rsid w:val="001A6DCC"/>
    <w:rsid w:val="001A773E"/>
    <w:rsid w:val="001B0396"/>
    <w:rsid w:val="001B1400"/>
    <w:rsid w:val="001B3DBD"/>
    <w:rsid w:val="001B4377"/>
    <w:rsid w:val="001D0DF7"/>
    <w:rsid w:val="001D1038"/>
    <w:rsid w:val="001D2321"/>
    <w:rsid w:val="001D2DCD"/>
    <w:rsid w:val="001D5055"/>
    <w:rsid w:val="001D630C"/>
    <w:rsid w:val="001E1467"/>
    <w:rsid w:val="001E1A2F"/>
    <w:rsid w:val="001E201B"/>
    <w:rsid w:val="001E5CAC"/>
    <w:rsid w:val="001E64A9"/>
    <w:rsid w:val="001E6841"/>
    <w:rsid w:val="001E725F"/>
    <w:rsid w:val="001F1AF5"/>
    <w:rsid w:val="001F1AF7"/>
    <w:rsid w:val="001F4964"/>
    <w:rsid w:val="001F4A96"/>
    <w:rsid w:val="001F7063"/>
    <w:rsid w:val="00202B04"/>
    <w:rsid w:val="00203052"/>
    <w:rsid w:val="00204936"/>
    <w:rsid w:val="002049D5"/>
    <w:rsid w:val="00206AE4"/>
    <w:rsid w:val="002100EE"/>
    <w:rsid w:val="00210168"/>
    <w:rsid w:val="00210ED7"/>
    <w:rsid w:val="00212A06"/>
    <w:rsid w:val="00214E7A"/>
    <w:rsid w:val="00215DEE"/>
    <w:rsid w:val="0021618E"/>
    <w:rsid w:val="0021704D"/>
    <w:rsid w:val="002216C7"/>
    <w:rsid w:val="00222097"/>
    <w:rsid w:val="002227DB"/>
    <w:rsid w:val="00227202"/>
    <w:rsid w:val="00227377"/>
    <w:rsid w:val="00227851"/>
    <w:rsid w:val="002339D3"/>
    <w:rsid w:val="00234257"/>
    <w:rsid w:val="002348E0"/>
    <w:rsid w:val="002369D9"/>
    <w:rsid w:val="0024526C"/>
    <w:rsid w:val="00254E1A"/>
    <w:rsid w:val="00261550"/>
    <w:rsid w:val="00262555"/>
    <w:rsid w:val="002643C1"/>
    <w:rsid w:val="00265203"/>
    <w:rsid w:val="00270223"/>
    <w:rsid w:val="00271258"/>
    <w:rsid w:val="0027199E"/>
    <w:rsid w:val="00271D47"/>
    <w:rsid w:val="002721EA"/>
    <w:rsid w:val="002752BA"/>
    <w:rsid w:val="00280E8A"/>
    <w:rsid w:val="00285164"/>
    <w:rsid w:val="002855B0"/>
    <w:rsid w:val="00286959"/>
    <w:rsid w:val="00295FA5"/>
    <w:rsid w:val="00297A6F"/>
    <w:rsid w:val="002A4956"/>
    <w:rsid w:val="002A6710"/>
    <w:rsid w:val="002A7778"/>
    <w:rsid w:val="002B1FDA"/>
    <w:rsid w:val="002B2ACF"/>
    <w:rsid w:val="002B578B"/>
    <w:rsid w:val="002B5ECC"/>
    <w:rsid w:val="002B7904"/>
    <w:rsid w:val="002C2507"/>
    <w:rsid w:val="002C2E6E"/>
    <w:rsid w:val="002C3A3D"/>
    <w:rsid w:val="002C7927"/>
    <w:rsid w:val="002D41FF"/>
    <w:rsid w:val="002D608F"/>
    <w:rsid w:val="002D7053"/>
    <w:rsid w:val="002D7208"/>
    <w:rsid w:val="002D7725"/>
    <w:rsid w:val="002E0CC2"/>
    <w:rsid w:val="002E3527"/>
    <w:rsid w:val="002E3824"/>
    <w:rsid w:val="002E78F7"/>
    <w:rsid w:val="002F031F"/>
    <w:rsid w:val="002F0ED3"/>
    <w:rsid w:val="002F3278"/>
    <w:rsid w:val="002F3DE3"/>
    <w:rsid w:val="002F632E"/>
    <w:rsid w:val="003021BC"/>
    <w:rsid w:val="0030440F"/>
    <w:rsid w:val="00310AF9"/>
    <w:rsid w:val="00310DAA"/>
    <w:rsid w:val="0031465E"/>
    <w:rsid w:val="00315742"/>
    <w:rsid w:val="003163B3"/>
    <w:rsid w:val="003200C6"/>
    <w:rsid w:val="00322A7A"/>
    <w:rsid w:val="00326C5B"/>
    <w:rsid w:val="003336F0"/>
    <w:rsid w:val="0033663D"/>
    <w:rsid w:val="003366D9"/>
    <w:rsid w:val="00340777"/>
    <w:rsid w:val="00341D8A"/>
    <w:rsid w:val="00341DEB"/>
    <w:rsid w:val="00345A07"/>
    <w:rsid w:val="00346A3D"/>
    <w:rsid w:val="00350510"/>
    <w:rsid w:val="00350C20"/>
    <w:rsid w:val="003548FA"/>
    <w:rsid w:val="00355643"/>
    <w:rsid w:val="00355A05"/>
    <w:rsid w:val="00355A74"/>
    <w:rsid w:val="0035764D"/>
    <w:rsid w:val="00361427"/>
    <w:rsid w:val="00363702"/>
    <w:rsid w:val="0036458B"/>
    <w:rsid w:val="0036657A"/>
    <w:rsid w:val="003703E8"/>
    <w:rsid w:val="00371D2F"/>
    <w:rsid w:val="00373122"/>
    <w:rsid w:val="0037612E"/>
    <w:rsid w:val="0038033A"/>
    <w:rsid w:val="003816ED"/>
    <w:rsid w:val="003840E9"/>
    <w:rsid w:val="00384161"/>
    <w:rsid w:val="00387610"/>
    <w:rsid w:val="0039432A"/>
    <w:rsid w:val="003952B3"/>
    <w:rsid w:val="003953EA"/>
    <w:rsid w:val="00395C2F"/>
    <w:rsid w:val="003973D3"/>
    <w:rsid w:val="00397F89"/>
    <w:rsid w:val="003A0495"/>
    <w:rsid w:val="003A0892"/>
    <w:rsid w:val="003A3162"/>
    <w:rsid w:val="003A422B"/>
    <w:rsid w:val="003A449E"/>
    <w:rsid w:val="003A6764"/>
    <w:rsid w:val="003A71F3"/>
    <w:rsid w:val="003B19F5"/>
    <w:rsid w:val="003D0E0A"/>
    <w:rsid w:val="003D3B22"/>
    <w:rsid w:val="003D7B3D"/>
    <w:rsid w:val="003E0348"/>
    <w:rsid w:val="003F3DB1"/>
    <w:rsid w:val="003F451E"/>
    <w:rsid w:val="003F4939"/>
    <w:rsid w:val="003F626F"/>
    <w:rsid w:val="003F6794"/>
    <w:rsid w:val="00402B32"/>
    <w:rsid w:val="0040519F"/>
    <w:rsid w:val="0040781E"/>
    <w:rsid w:val="00410C93"/>
    <w:rsid w:val="004115FB"/>
    <w:rsid w:val="00411B4A"/>
    <w:rsid w:val="004134DD"/>
    <w:rsid w:val="00417E99"/>
    <w:rsid w:val="00421507"/>
    <w:rsid w:val="00424D02"/>
    <w:rsid w:val="0042525A"/>
    <w:rsid w:val="0042733C"/>
    <w:rsid w:val="00434ED4"/>
    <w:rsid w:val="0044185A"/>
    <w:rsid w:val="0044193A"/>
    <w:rsid w:val="00453B8F"/>
    <w:rsid w:val="004556B7"/>
    <w:rsid w:val="00460489"/>
    <w:rsid w:val="004608C7"/>
    <w:rsid w:val="00462289"/>
    <w:rsid w:val="00462878"/>
    <w:rsid w:val="00465B7A"/>
    <w:rsid w:val="00471121"/>
    <w:rsid w:val="00472AA2"/>
    <w:rsid w:val="00473B39"/>
    <w:rsid w:val="00474175"/>
    <w:rsid w:val="00481309"/>
    <w:rsid w:val="004928A2"/>
    <w:rsid w:val="00494610"/>
    <w:rsid w:val="004953EC"/>
    <w:rsid w:val="00497ADD"/>
    <w:rsid w:val="004A0D29"/>
    <w:rsid w:val="004A0DE1"/>
    <w:rsid w:val="004A2410"/>
    <w:rsid w:val="004A27AC"/>
    <w:rsid w:val="004A3995"/>
    <w:rsid w:val="004B3AB3"/>
    <w:rsid w:val="004C1DD0"/>
    <w:rsid w:val="004C2685"/>
    <w:rsid w:val="004C64E4"/>
    <w:rsid w:val="004C6673"/>
    <w:rsid w:val="004D2334"/>
    <w:rsid w:val="004D433D"/>
    <w:rsid w:val="004D4410"/>
    <w:rsid w:val="004E156F"/>
    <w:rsid w:val="004E2F88"/>
    <w:rsid w:val="004E550E"/>
    <w:rsid w:val="004E55DB"/>
    <w:rsid w:val="004E67C6"/>
    <w:rsid w:val="004F5959"/>
    <w:rsid w:val="004F670C"/>
    <w:rsid w:val="00502B2F"/>
    <w:rsid w:val="00512D00"/>
    <w:rsid w:val="00512D44"/>
    <w:rsid w:val="00514179"/>
    <w:rsid w:val="00516243"/>
    <w:rsid w:val="005164D4"/>
    <w:rsid w:val="005175DF"/>
    <w:rsid w:val="00522BF8"/>
    <w:rsid w:val="005406A0"/>
    <w:rsid w:val="00540E03"/>
    <w:rsid w:val="00541D5F"/>
    <w:rsid w:val="00544BEA"/>
    <w:rsid w:val="005460D5"/>
    <w:rsid w:val="00553CF0"/>
    <w:rsid w:val="00557C75"/>
    <w:rsid w:val="00566A85"/>
    <w:rsid w:val="00570C78"/>
    <w:rsid w:val="00573AE3"/>
    <w:rsid w:val="00581EF9"/>
    <w:rsid w:val="00583690"/>
    <w:rsid w:val="005902D9"/>
    <w:rsid w:val="0059075F"/>
    <w:rsid w:val="00595DCA"/>
    <w:rsid w:val="00596AB7"/>
    <w:rsid w:val="005A1B5C"/>
    <w:rsid w:val="005A1EA7"/>
    <w:rsid w:val="005A6A12"/>
    <w:rsid w:val="005B0724"/>
    <w:rsid w:val="005B1E46"/>
    <w:rsid w:val="005B5AA4"/>
    <w:rsid w:val="005C3F4B"/>
    <w:rsid w:val="005C42AC"/>
    <w:rsid w:val="005C4F84"/>
    <w:rsid w:val="005D2EC6"/>
    <w:rsid w:val="005D37D0"/>
    <w:rsid w:val="005D41E8"/>
    <w:rsid w:val="005D703E"/>
    <w:rsid w:val="005E35E9"/>
    <w:rsid w:val="005E5525"/>
    <w:rsid w:val="005F38BB"/>
    <w:rsid w:val="005F7895"/>
    <w:rsid w:val="0060003E"/>
    <w:rsid w:val="00602BBE"/>
    <w:rsid w:val="0060315D"/>
    <w:rsid w:val="00613410"/>
    <w:rsid w:val="00617986"/>
    <w:rsid w:val="0062414A"/>
    <w:rsid w:val="006256CA"/>
    <w:rsid w:val="00627729"/>
    <w:rsid w:val="00627F21"/>
    <w:rsid w:val="0063025A"/>
    <w:rsid w:val="0064583B"/>
    <w:rsid w:val="006468B8"/>
    <w:rsid w:val="00651127"/>
    <w:rsid w:val="0065190C"/>
    <w:rsid w:val="006542F1"/>
    <w:rsid w:val="00654A48"/>
    <w:rsid w:val="0065651B"/>
    <w:rsid w:val="00664607"/>
    <w:rsid w:val="00665941"/>
    <w:rsid w:val="0066755F"/>
    <w:rsid w:val="00670089"/>
    <w:rsid w:val="00670C89"/>
    <w:rsid w:val="00671233"/>
    <w:rsid w:val="006763DC"/>
    <w:rsid w:val="00680AE4"/>
    <w:rsid w:val="00682205"/>
    <w:rsid w:val="006822B0"/>
    <w:rsid w:val="00684E51"/>
    <w:rsid w:val="0068793C"/>
    <w:rsid w:val="00694288"/>
    <w:rsid w:val="00694F91"/>
    <w:rsid w:val="006A100B"/>
    <w:rsid w:val="006A143A"/>
    <w:rsid w:val="006A3285"/>
    <w:rsid w:val="006A4C56"/>
    <w:rsid w:val="006B0567"/>
    <w:rsid w:val="006B3F8D"/>
    <w:rsid w:val="006B4535"/>
    <w:rsid w:val="006B72DE"/>
    <w:rsid w:val="006B75CB"/>
    <w:rsid w:val="006C5FC1"/>
    <w:rsid w:val="006D44E1"/>
    <w:rsid w:val="006D6350"/>
    <w:rsid w:val="006D6662"/>
    <w:rsid w:val="006E21FA"/>
    <w:rsid w:val="006E477D"/>
    <w:rsid w:val="006E6D5F"/>
    <w:rsid w:val="006F0FB7"/>
    <w:rsid w:val="006F5925"/>
    <w:rsid w:val="006F5E40"/>
    <w:rsid w:val="006F6E4A"/>
    <w:rsid w:val="00704E5D"/>
    <w:rsid w:val="00705739"/>
    <w:rsid w:val="007073D6"/>
    <w:rsid w:val="00710AE5"/>
    <w:rsid w:val="00712E83"/>
    <w:rsid w:val="00712FF5"/>
    <w:rsid w:val="0071464D"/>
    <w:rsid w:val="00714BF1"/>
    <w:rsid w:val="00715FB5"/>
    <w:rsid w:val="00716C50"/>
    <w:rsid w:val="007171A6"/>
    <w:rsid w:val="0071799D"/>
    <w:rsid w:val="00726088"/>
    <w:rsid w:val="00730B6A"/>
    <w:rsid w:val="00731B91"/>
    <w:rsid w:val="00736D88"/>
    <w:rsid w:val="00736DD2"/>
    <w:rsid w:val="00736EE0"/>
    <w:rsid w:val="0074681C"/>
    <w:rsid w:val="00746EC2"/>
    <w:rsid w:val="007504DE"/>
    <w:rsid w:val="00750DA5"/>
    <w:rsid w:val="00762B70"/>
    <w:rsid w:val="007636FE"/>
    <w:rsid w:val="0077408E"/>
    <w:rsid w:val="007759AB"/>
    <w:rsid w:val="00780577"/>
    <w:rsid w:val="00781AD3"/>
    <w:rsid w:val="00781BFB"/>
    <w:rsid w:val="00786FA7"/>
    <w:rsid w:val="0079177C"/>
    <w:rsid w:val="00794382"/>
    <w:rsid w:val="007959AC"/>
    <w:rsid w:val="00796323"/>
    <w:rsid w:val="007A20E0"/>
    <w:rsid w:val="007A2B97"/>
    <w:rsid w:val="007B2204"/>
    <w:rsid w:val="007B372B"/>
    <w:rsid w:val="007B4B60"/>
    <w:rsid w:val="007B7278"/>
    <w:rsid w:val="007C1691"/>
    <w:rsid w:val="007C6B0F"/>
    <w:rsid w:val="007D0625"/>
    <w:rsid w:val="007D7A44"/>
    <w:rsid w:val="007D7E65"/>
    <w:rsid w:val="007E19E0"/>
    <w:rsid w:val="007E517D"/>
    <w:rsid w:val="007F6769"/>
    <w:rsid w:val="008041D4"/>
    <w:rsid w:val="00806938"/>
    <w:rsid w:val="00807818"/>
    <w:rsid w:val="0081156A"/>
    <w:rsid w:val="008118A5"/>
    <w:rsid w:val="00827398"/>
    <w:rsid w:val="008275B6"/>
    <w:rsid w:val="0083653E"/>
    <w:rsid w:val="008369DC"/>
    <w:rsid w:val="00842974"/>
    <w:rsid w:val="00842F87"/>
    <w:rsid w:val="00843A88"/>
    <w:rsid w:val="00843D2E"/>
    <w:rsid w:val="0085550A"/>
    <w:rsid w:val="0085623A"/>
    <w:rsid w:val="008616EF"/>
    <w:rsid w:val="00863C25"/>
    <w:rsid w:val="008641B7"/>
    <w:rsid w:val="00864D80"/>
    <w:rsid w:val="00864DC1"/>
    <w:rsid w:val="00870530"/>
    <w:rsid w:val="008705BC"/>
    <w:rsid w:val="00871999"/>
    <w:rsid w:val="00872E27"/>
    <w:rsid w:val="00875A42"/>
    <w:rsid w:val="0088040F"/>
    <w:rsid w:val="0088192C"/>
    <w:rsid w:val="008904A8"/>
    <w:rsid w:val="0089087A"/>
    <w:rsid w:val="00891D94"/>
    <w:rsid w:val="00896589"/>
    <w:rsid w:val="008A0CEE"/>
    <w:rsid w:val="008A19AF"/>
    <w:rsid w:val="008A20FB"/>
    <w:rsid w:val="008A24E9"/>
    <w:rsid w:val="008A4D88"/>
    <w:rsid w:val="008C1B22"/>
    <w:rsid w:val="008C2D53"/>
    <w:rsid w:val="008C4C84"/>
    <w:rsid w:val="008C510F"/>
    <w:rsid w:val="008D067F"/>
    <w:rsid w:val="008D3283"/>
    <w:rsid w:val="008E437B"/>
    <w:rsid w:val="008E4D3F"/>
    <w:rsid w:val="008E66B8"/>
    <w:rsid w:val="008F0A2E"/>
    <w:rsid w:val="008F1988"/>
    <w:rsid w:val="008F2B05"/>
    <w:rsid w:val="008F5E76"/>
    <w:rsid w:val="008F6252"/>
    <w:rsid w:val="009023F3"/>
    <w:rsid w:val="0090383C"/>
    <w:rsid w:val="00905D85"/>
    <w:rsid w:val="00912132"/>
    <w:rsid w:val="00913CAA"/>
    <w:rsid w:val="009226D2"/>
    <w:rsid w:val="00922FAD"/>
    <w:rsid w:val="00924F0A"/>
    <w:rsid w:val="00925082"/>
    <w:rsid w:val="00925726"/>
    <w:rsid w:val="00926904"/>
    <w:rsid w:val="0092708B"/>
    <w:rsid w:val="0093049D"/>
    <w:rsid w:val="00936A01"/>
    <w:rsid w:val="00937713"/>
    <w:rsid w:val="009404E7"/>
    <w:rsid w:val="009409CD"/>
    <w:rsid w:val="0094759E"/>
    <w:rsid w:val="00952C13"/>
    <w:rsid w:val="0095455D"/>
    <w:rsid w:val="00962BF1"/>
    <w:rsid w:val="00963237"/>
    <w:rsid w:val="00966820"/>
    <w:rsid w:val="00971E57"/>
    <w:rsid w:val="009723CF"/>
    <w:rsid w:val="00972F46"/>
    <w:rsid w:val="00973D3A"/>
    <w:rsid w:val="009741DC"/>
    <w:rsid w:val="0097652A"/>
    <w:rsid w:val="00976B08"/>
    <w:rsid w:val="00980037"/>
    <w:rsid w:val="00983B43"/>
    <w:rsid w:val="00984742"/>
    <w:rsid w:val="0099161D"/>
    <w:rsid w:val="00991B37"/>
    <w:rsid w:val="009B6208"/>
    <w:rsid w:val="009B71FF"/>
    <w:rsid w:val="009C3034"/>
    <w:rsid w:val="009C4BFF"/>
    <w:rsid w:val="009C7522"/>
    <w:rsid w:val="009D0FDD"/>
    <w:rsid w:val="009D3162"/>
    <w:rsid w:val="009D3181"/>
    <w:rsid w:val="009D62CA"/>
    <w:rsid w:val="009D7B9B"/>
    <w:rsid w:val="009E067B"/>
    <w:rsid w:val="009E717E"/>
    <w:rsid w:val="009E737D"/>
    <w:rsid w:val="009F18FA"/>
    <w:rsid w:val="00A0197B"/>
    <w:rsid w:val="00A02768"/>
    <w:rsid w:val="00A03977"/>
    <w:rsid w:val="00A06013"/>
    <w:rsid w:val="00A104A7"/>
    <w:rsid w:val="00A12904"/>
    <w:rsid w:val="00A15FBF"/>
    <w:rsid w:val="00A1616D"/>
    <w:rsid w:val="00A1783B"/>
    <w:rsid w:val="00A224AC"/>
    <w:rsid w:val="00A26FF7"/>
    <w:rsid w:val="00A27159"/>
    <w:rsid w:val="00A3115E"/>
    <w:rsid w:val="00A37A20"/>
    <w:rsid w:val="00A445DC"/>
    <w:rsid w:val="00A44BEA"/>
    <w:rsid w:val="00A47C22"/>
    <w:rsid w:val="00A55B14"/>
    <w:rsid w:val="00A5689C"/>
    <w:rsid w:val="00A569E8"/>
    <w:rsid w:val="00A57FAF"/>
    <w:rsid w:val="00A601C4"/>
    <w:rsid w:val="00A61D6E"/>
    <w:rsid w:val="00A70193"/>
    <w:rsid w:val="00A711C6"/>
    <w:rsid w:val="00A730F3"/>
    <w:rsid w:val="00A74B68"/>
    <w:rsid w:val="00A77EE1"/>
    <w:rsid w:val="00A84863"/>
    <w:rsid w:val="00A91750"/>
    <w:rsid w:val="00A95D95"/>
    <w:rsid w:val="00A977EC"/>
    <w:rsid w:val="00AA3FD1"/>
    <w:rsid w:val="00AA52DE"/>
    <w:rsid w:val="00AB11B3"/>
    <w:rsid w:val="00AB1DAF"/>
    <w:rsid w:val="00AB40EF"/>
    <w:rsid w:val="00AB43D9"/>
    <w:rsid w:val="00AB5ED3"/>
    <w:rsid w:val="00AB6B0C"/>
    <w:rsid w:val="00AB70CD"/>
    <w:rsid w:val="00AB7800"/>
    <w:rsid w:val="00AC1860"/>
    <w:rsid w:val="00AC4898"/>
    <w:rsid w:val="00AC48B3"/>
    <w:rsid w:val="00AC7893"/>
    <w:rsid w:val="00AC7AC9"/>
    <w:rsid w:val="00AD1C54"/>
    <w:rsid w:val="00AE1920"/>
    <w:rsid w:val="00AE76F8"/>
    <w:rsid w:val="00AF01B3"/>
    <w:rsid w:val="00AF0F13"/>
    <w:rsid w:val="00AF7992"/>
    <w:rsid w:val="00AF7CDD"/>
    <w:rsid w:val="00B00AB3"/>
    <w:rsid w:val="00B14C52"/>
    <w:rsid w:val="00B200AA"/>
    <w:rsid w:val="00B203A9"/>
    <w:rsid w:val="00B229A5"/>
    <w:rsid w:val="00B2488E"/>
    <w:rsid w:val="00B25EB3"/>
    <w:rsid w:val="00B42056"/>
    <w:rsid w:val="00B44671"/>
    <w:rsid w:val="00B466CD"/>
    <w:rsid w:val="00B478C3"/>
    <w:rsid w:val="00B52715"/>
    <w:rsid w:val="00B535DB"/>
    <w:rsid w:val="00B604C7"/>
    <w:rsid w:val="00B61348"/>
    <w:rsid w:val="00B6263F"/>
    <w:rsid w:val="00B65A81"/>
    <w:rsid w:val="00B67114"/>
    <w:rsid w:val="00B678C7"/>
    <w:rsid w:val="00B70368"/>
    <w:rsid w:val="00B7097C"/>
    <w:rsid w:val="00B72BCC"/>
    <w:rsid w:val="00B75449"/>
    <w:rsid w:val="00B81284"/>
    <w:rsid w:val="00B86DA1"/>
    <w:rsid w:val="00B87401"/>
    <w:rsid w:val="00B96B1E"/>
    <w:rsid w:val="00BA1C51"/>
    <w:rsid w:val="00BA527C"/>
    <w:rsid w:val="00BA5B9C"/>
    <w:rsid w:val="00BA7D51"/>
    <w:rsid w:val="00BA7F31"/>
    <w:rsid w:val="00BB4AD5"/>
    <w:rsid w:val="00BB7494"/>
    <w:rsid w:val="00BB76A5"/>
    <w:rsid w:val="00BC089B"/>
    <w:rsid w:val="00BC183F"/>
    <w:rsid w:val="00BC1C37"/>
    <w:rsid w:val="00BC2390"/>
    <w:rsid w:val="00BC775D"/>
    <w:rsid w:val="00BD0051"/>
    <w:rsid w:val="00BD2939"/>
    <w:rsid w:val="00BD5A75"/>
    <w:rsid w:val="00BD6BF7"/>
    <w:rsid w:val="00BE07A9"/>
    <w:rsid w:val="00BE1700"/>
    <w:rsid w:val="00BE2E36"/>
    <w:rsid w:val="00BE4D8F"/>
    <w:rsid w:val="00BF0A3E"/>
    <w:rsid w:val="00BF26AC"/>
    <w:rsid w:val="00BF2C00"/>
    <w:rsid w:val="00BF46A7"/>
    <w:rsid w:val="00BF5230"/>
    <w:rsid w:val="00BF6DA8"/>
    <w:rsid w:val="00C00289"/>
    <w:rsid w:val="00C1090C"/>
    <w:rsid w:val="00C112B1"/>
    <w:rsid w:val="00C201FC"/>
    <w:rsid w:val="00C240C8"/>
    <w:rsid w:val="00C249AF"/>
    <w:rsid w:val="00C26513"/>
    <w:rsid w:val="00C328C9"/>
    <w:rsid w:val="00C339ED"/>
    <w:rsid w:val="00C35BA8"/>
    <w:rsid w:val="00C37F72"/>
    <w:rsid w:val="00C40246"/>
    <w:rsid w:val="00C420B1"/>
    <w:rsid w:val="00C420C1"/>
    <w:rsid w:val="00C43FEE"/>
    <w:rsid w:val="00C45963"/>
    <w:rsid w:val="00C472B8"/>
    <w:rsid w:val="00C50723"/>
    <w:rsid w:val="00C529FD"/>
    <w:rsid w:val="00C53124"/>
    <w:rsid w:val="00C538A9"/>
    <w:rsid w:val="00C53B2E"/>
    <w:rsid w:val="00C6160A"/>
    <w:rsid w:val="00C62B51"/>
    <w:rsid w:val="00C65711"/>
    <w:rsid w:val="00C66460"/>
    <w:rsid w:val="00C66E6F"/>
    <w:rsid w:val="00C76ECD"/>
    <w:rsid w:val="00C8221C"/>
    <w:rsid w:val="00C84B63"/>
    <w:rsid w:val="00C84E04"/>
    <w:rsid w:val="00C86DC6"/>
    <w:rsid w:val="00C910BE"/>
    <w:rsid w:val="00C922BE"/>
    <w:rsid w:val="00CA10F9"/>
    <w:rsid w:val="00CA14F4"/>
    <w:rsid w:val="00CA583F"/>
    <w:rsid w:val="00CA5844"/>
    <w:rsid w:val="00CA7415"/>
    <w:rsid w:val="00CB265C"/>
    <w:rsid w:val="00CB2BDD"/>
    <w:rsid w:val="00CB32BC"/>
    <w:rsid w:val="00CB4540"/>
    <w:rsid w:val="00CB4951"/>
    <w:rsid w:val="00CB7A07"/>
    <w:rsid w:val="00CC59BB"/>
    <w:rsid w:val="00CD1B93"/>
    <w:rsid w:val="00CD2E6E"/>
    <w:rsid w:val="00CD3BD4"/>
    <w:rsid w:val="00CD3CC8"/>
    <w:rsid w:val="00CD4915"/>
    <w:rsid w:val="00CD60BD"/>
    <w:rsid w:val="00CD635D"/>
    <w:rsid w:val="00CD6DEE"/>
    <w:rsid w:val="00CD7C5B"/>
    <w:rsid w:val="00CD7CED"/>
    <w:rsid w:val="00CE04C7"/>
    <w:rsid w:val="00CE2AC9"/>
    <w:rsid w:val="00CE2AFE"/>
    <w:rsid w:val="00CE60DA"/>
    <w:rsid w:val="00CE7B14"/>
    <w:rsid w:val="00CF156B"/>
    <w:rsid w:val="00CF1E02"/>
    <w:rsid w:val="00CF4BD6"/>
    <w:rsid w:val="00CF597A"/>
    <w:rsid w:val="00D00228"/>
    <w:rsid w:val="00D00DA0"/>
    <w:rsid w:val="00D0103F"/>
    <w:rsid w:val="00D03E34"/>
    <w:rsid w:val="00D05BAA"/>
    <w:rsid w:val="00D07F26"/>
    <w:rsid w:val="00D11A09"/>
    <w:rsid w:val="00D11BCD"/>
    <w:rsid w:val="00D13B7A"/>
    <w:rsid w:val="00D17FD1"/>
    <w:rsid w:val="00D22C4B"/>
    <w:rsid w:val="00D230C7"/>
    <w:rsid w:val="00D23583"/>
    <w:rsid w:val="00D23E7D"/>
    <w:rsid w:val="00D2405F"/>
    <w:rsid w:val="00D26C71"/>
    <w:rsid w:val="00D30C7F"/>
    <w:rsid w:val="00D32DFB"/>
    <w:rsid w:val="00D41150"/>
    <w:rsid w:val="00D41421"/>
    <w:rsid w:val="00D41998"/>
    <w:rsid w:val="00D41BA9"/>
    <w:rsid w:val="00D44059"/>
    <w:rsid w:val="00D4511A"/>
    <w:rsid w:val="00D51813"/>
    <w:rsid w:val="00D52376"/>
    <w:rsid w:val="00D53EE6"/>
    <w:rsid w:val="00D612C2"/>
    <w:rsid w:val="00D64D38"/>
    <w:rsid w:val="00D745E0"/>
    <w:rsid w:val="00D76AA3"/>
    <w:rsid w:val="00D80604"/>
    <w:rsid w:val="00D86529"/>
    <w:rsid w:val="00D86A86"/>
    <w:rsid w:val="00D8791E"/>
    <w:rsid w:val="00D92438"/>
    <w:rsid w:val="00DA0040"/>
    <w:rsid w:val="00DA086B"/>
    <w:rsid w:val="00DA1D7A"/>
    <w:rsid w:val="00DA5E0A"/>
    <w:rsid w:val="00DA6834"/>
    <w:rsid w:val="00DA7145"/>
    <w:rsid w:val="00DA78D8"/>
    <w:rsid w:val="00DA7E05"/>
    <w:rsid w:val="00DB3923"/>
    <w:rsid w:val="00DB4794"/>
    <w:rsid w:val="00DB5C3E"/>
    <w:rsid w:val="00DB628E"/>
    <w:rsid w:val="00DC4070"/>
    <w:rsid w:val="00DC7277"/>
    <w:rsid w:val="00DE065A"/>
    <w:rsid w:val="00DE1DE6"/>
    <w:rsid w:val="00DE1E39"/>
    <w:rsid w:val="00DE513D"/>
    <w:rsid w:val="00DF235C"/>
    <w:rsid w:val="00DF426D"/>
    <w:rsid w:val="00DF47D6"/>
    <w:rsid w:val="00DF4D5A"/>
    <w:rsid w:val="00DF5425"/>
    <w:rsid w:val="00DF782C"/>
    <w:rsid w:val="00DF7A59"/>
    <w:rsid w:val="00E030A0"/>
    <w:rsid w:val="00E04F16"/>
    <w:rsid w:val="00E075A1"/>
    <w:rsid w:val="00E0797A"/>
    <w:rsid w:val="00E11D5D"/>
    <w:rsid w:val="00E124E3"/>
    <w:rsid w:val="00E12F81"/>
    <w:rsid w:val="00E14812"/>
    <w:rsid w:val="00E15231"/>
    <w:rsid w:val="00E15DDE"/>
    <w:rsid w:val="00E17B19"/>
    <w:rsid w:val="00E2339E"/>
    <w:rsid w:val="00E257AF"/>
    <w:rsid w:val="00E300BB"/>
    <w:rsid w:val="00E31D0A"/>
    <w:rsid w:val="00E3245B"/>
    <w:rsid w:val="00E32DCD"/>
    <w:rsid w:val="00E32DF0"/>
    <w:rsid w:val="00E3655E"/>
    <w:rsid w:val="00E3707B"/>
    <w:rsid w:val="00E50685"/>
    <w:rsid w:val="00E57F6B"/>
    <w:rsid w:val="00E609CE"/>
    <w:rsid w:val="00E6234F"/>
    <w:rsid w:val="00E67AC7"/>
    <w:rsid w:val="00E7134F"/>
    <w:rsid w:val="00E7342C"/>
    <w:rsid w:val="00E736E9"/>
    <w:rsid w:val="00E76363"/>
    <w:rsid w:val="00E90BE3"/>
    <w:rsid w:val="00E91374"/>
    <w:rsid w:val="00E91D81"/>
    <w:rsid w:val="00E92BC2"/>
    <w:rsid w:val="00EA010E"/>
    <w:rsid w:val="00EA28AB"/>
    <w:rsid w:val="00EA6FBF"/>
    <w:rsid w:val="00EB1E33"/>
    <w:rsid w:val="00EB4DA6"/>
    <w:rsid w:val="00EB7B0A"/>
    <w:rsid w:val="00EC0881"/>
    <w:rsid w:val="00EC4567"/>
    <w:rsid w:val="00EC74F9"/>
    <w:rsid w:val="00ED13DE"/>
    <w:rsid w:val="00ED1996"/>
    <w:rsid w:val="00ED2843"/>
    <w:rsid w:val="00ED2F55"/>
    <w:rsid w:val="00ED5ED8"/>
    <w:rsid w:val="00EE0C95"/>
    <w:rsid w:val="00EE1526"/>
    <w:rsid w:val="00EE3F0F"/>
    <w:rsid w:val="00EF0199"/>
    <w:rsid w:val="00EF161E"/>
    <w:rsid w:val="00F0263C"/>
    <w:rsid w:val="00F0402A"/>
    <w:rsid w:val="00F07266"/>
    <w:rsid w:val="00F16313"/>
    <w:rsid w:val="00F1700E"/>
    <w:rsid w:val="00F20820"/>
    <w:rsid w:val="00F20FF1"/>
    <w:rsid w:val="00F24317"/>
    <w:rsid w:val="00F27AC7"/>
    <w:rsid w:val="00F32641"/>
    <w:rsid w:val="00F34974"/>
    <w:rsid w:val="00F35457"/>
    <w:rsid w:val="00F3595B"/>
    <w:rsid w:val="00F35F73"/>
    <w:rsid w:val="00F367F3"/>
    <w:rsid w:val="00F36A26"/>
    <w:rsid w:val="00F41F54"/>
    <w:rsid w:val="00F426A6"/>
    <w:rsid w:val="00F429FD"/>
    <w:rsid w:val="00F4623C"/>
    <w:rsid w:val="00F46AD7"/>
    <w:rsid w:val="00F56399"/>
    <w:rsid w:val="00F606BB"/>
    <w:rsid w:val="00F630FA"/>
    <w:rsid w:val="00F70113"/>
    <w:rsid w:val="00F746E3"/>
    <w:rsid w:val="00F76C17"/>
    <w:rsid w:val="00F7709C"/>
    <w:rsid w:val="00F7750A"/>
    <w:rsid w:val="00F80006"/>
    <w:rsid w:val="00F80084"/>
    <w:rsid w:val="00F95676"/>
    <w:rsid w:val="00F96401"/>
    <w:rsid w:val="00F9690B"/>
    <w:rsid w:val="00FA3F8B"/>
    <w:rsid w:val="00FA56FF"/>
    <w:rsid w:val="00FA66A4"/>
    <w:rsid w:val="00FA767D"/>
    <w:rsid w:val="00FB693B"/>
    <w:rsid w:val="00FC3C96"/>
    <w:rsid w:val="00FD2470"/>
    <w:rsid w:val="00FD5823"/>
    <w:rsid w:val="00FD7BE0"/>
    <w:rsid w:val="00FE1C27"/>
    <w:rsid w:val="00FE326F"/>
    <w:rsid w:val="00FE5C31"/>
    <w:rsid w:val="00FF0F20"/>
    <w:rsid w:val="00FF1B0E"/>
    <w:rsid w:val="00FF268A"/>
    <w:rsid w:val="00FF748B"/>
    <w:rsid w:val="019504D7"/>
    <w:rsid w:val="03262D29"/>
    <w:rsid w:val="03F914B2"/>
    <w:rsid w:val="07702B1D"/>
    <w:rsid w:val="08274011"/>
    <w:rsid w:val="08CC2F59"/>
    <w:rsid w:val="09893C67"/>
    <w:rsid w:val="0A855986"/>
    <w:rsid w:val="0AF93D36"/>
    <w:rsid w:val="0D8570DA"/>
    <w:rsid w:val="0E814AF5"/>
    <w:rsid w:val="10314C30"/>
    <w:rsid w:val="11194576"/>
    <w:rsid w:val="11397B40"/>
    <w:rsid w:val="116324EC"/>
    <w:rsid w:val="1229573E"/>
    <w:rsid w:val="12322597"/>
    <w:rsid w:val="1303728B"/>
    <w:rsid w:val="147A5E14"/>
    <w:rsid w:val="16B618B7"/>
    <w:rsid w:val="17254C16"/>
    <w:rsid w:val="17A1211B"/>
    <w:rsid w:val="17EA0A1A"/>
    <w:rsid w:val="18ED7A84"/>
    <w:rsid w:val="19181001"/>
    <w:rsid w:val="19236B06"/>
    <w:rsid w:val="199651A5"/>
    <w:rsid w:val="1C814C85"/>
    <w:rsid w:val="1C8F72CB"/>
    <w:rsid w:val="1CD715CC"/>
    <w:rsid w:val="20AA72EF"/>
    <w:rsid w:val="21864056"/>
    <w:rsid w:val="236A5949"/>
    <w:rsid w:val="238D0A76"/>
    <w:rsid w:val="24917AF2"/>
    <w:rsid w:val="24EB5E30"/>
    <w:rsid w:val="273B136A"/>
    <w:rsid w:val="274166A3"/>
    <w:rsid w:val="27B41E4F"/>
    <w:rsid w:val="27D75BAD"/>
    <w:rsid w:val="296D0629"/>
    <w:rsid w:val="2A0B3707"/>
    <w:rsid w:val="2A64640A"/>
    <w:rsid w:val="2AA01F44"/>
    <w:rsid w:val="2B51317E"/>
    <w:rsid w:val="2B672214"/>
    <w:rsid w:val="2B6755C4"/>
    <w:rsid w:val="2BC050B2"/>
    <w:rsid w:val="2E590E9B"/>
    <w:rsid w:val="30C1117A"/>
    <w:rsid w:val="31A02853"/>
    <w:rsid w:val="345C3293"/>
    <w:rsid w:val="34A73E0E"/>
    <w:rsid w:val="35886B27"/>
    <w:rsid w:val="35F22B89"/>
    <w:rsid w:val="38262208"/>
    <w:rsid w:val="39D83B76"/>
    <w:rsid w:val="3AB6680E"/>
    <w:rsid w:val="3ADC64D9"/>
    <w:rsid w:val="3B263C07"/>
    <w:rsid w:val="3BA62F63"/>
    <w:rsid w:val="3BD801F5"/>
    <w:rsid w:val="3CF535F2"/>
    <w:rsid w:val="3D115F7D"/>
    <w:rsid w:val="3D875629"/>
    <w:rsid w:val="3DE522F7"/>
    <w:rsid w:val="3E101EA4"/>
    <w:rsid w:val="406334F2"/>
    <w:rsid w:val="4083116C"/>
    <w:rsid w:val="40CB7C47"/>
    <w:rsid w:val="418B7868"/>
    <w:rsid w:val="42CA40CA"/>
    <w:rsid w:val="42E514F0"/>
    <w:rsid w:val="42F35889"/>
    <w:rsid w:val="432045FC"/>
    <w:rsid w:val="44B662F6"/>
    <w:rsid w:val="452C7897"/>
    <w:rsid w:val="45FF5F0D"/>
    <w:rsid w:val="47703C29"/>
    <w:rsid w:val="486677BF"/>
    <w:rsid w:val="497B7CB3"/>
    <w:rsid w:val="4AEB0C33"/>
    <w:rsid w:val="4B2D12E0"/>
    <w:rsid w:val="4BEB6B31"/>
    <w:rsid w:val="4C000174"/>
    <w:rsid w:val="4C2909A1"/>
    <w:rsid w:val="4C924058"/>
    <w:rsid w:val="4DD36371"/>
    <w:rsid w:val="4FF30B13"/>
    <w:rsid w:val="500B3E79"/>
    <w:rsid w:val="50D807E6"/>
    <w:rsid w:val="511F6FF2"/>
    <w:rsid w:val="527D5E37"/>
    <w:rsid w:val="52820E8B"/>
    <w:rsid w:val="52D92ACB"/>
    <w:rsid w:val="53B4776F"/>
    <w:rsid w:val="559C4C29"/>
    <w:rsid w:val="55A0038E"/>
    <w:rsid w:val="56C31675"/>
    <w:rsid w:val="584D6E9E"/>
    <w:rsid w:val="5A232ED2"/>
    <w:rsid w:val="5B026B95"/>
    <w:rsid w:val="5BF62D65"/>
    <w:rsid w:val="5BFB4EAD"/>
    <w:rsid w:val="5CA67F0E"/>
    <w:rsid w:val="5D284EF1"/>
    <w:rsid w:val="5E27620C"/>
    <w:rsid w:val="5E483371"/>
    <w:rsid w:val="60E07737"/>
    <w:rsid w:val="60EE3421"/>
    <w:rsid w:val="6156039D"/>
    <w:rsid w:val="630649DC"/>
    <w:rsid w:val="658A5F72"/>
    <w:rsid w:val="66206169"/>
    <w:rsid w:val="66BA335F"/>
    <w:rsid w:val="673575BF"/>
    <w:rsid w:val="6785793C"/>
    <w:rsid w:val="679A13A5"/>
    <w:rsid w:val="68553399"/>
    <w:rsid w:val="69DB30B0"/>
    <w:rsid w:val="6BD67E9F"/>
    <w:rsid w:val="6EA92F63"/>
    <w:rsid w:val="6EAE4A4B"/>
    <w:rsid w:val="6F1B545B"/>
    <w:rsid w:val="6F9B423B"/>
    <w:rsid w:val="6FA2726C"/>
    <w:rsid w:val="6FD42CB7"/>
    <w:rsid w:val="6FDC0961"/>
    <w:rsid w:val="6FE969BF"/>
    <w:rsid w:val="70364D21"/>
    <w:rsid w:val="71297032"/>
    <w:rsid w:val="71687BE6"/>
    <w:rsid w:val="746F3735"/>
    <w:rsid w:val="74D70DF7"/>
    <w:rsid w:val="76832589"/>
    <w:rsid w:val="76840334"/>
    <w:rsid w:val="77572004"/>
    <w:rsid w:val="789F3DA6"/>
    <w:rsid w:val="78A52377"/>
    <w:rsid w:val="792F025B"/>
    <w:rsid w:val="79517126"/>
    <w:rsid w:val="7AA819D5"/>
    <w:rsid w:val="7B5B7497"/>
    <w:rsid w:val="7BCF786D"/>
    <w:rsid w:val="7CCE7DAD"/>
    <w:rsid w:val="7DFC641D"/>
    <w:rsid w:val="7E440B0A"/>
    <w:rsid w:val="7E6227B8"/>
    <w:rsid w:val="7E771036"/>
    <w:rsid w:val="7EFB0546"/>
    <w:rsid w:val="7F4D213E"/>
    <w:rsid w:val="7F7E648A"/>
    <w:rsid w:val="7F8B1DC3"/>
    <w:rsid w:val="7FCD0B4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400" w:lineRule="exact"/>
      <w:ind w:firstLine="480" w:firstLineChars="200"/>
      <w:jc w:val="both"/>
    </w:pPr>
    <w:rPr>
      <w:rFonts w:ascii="Times New Roman" w:hAnsi="Times New Roman" w:eastAsia="方正仿宋_GBK" w:cs="Times New Roman"/>
      <w:kern w:val="2"/>
      <w:sz w:val="24"/>
      <w:szCs w:val="24"/>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8"/>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69"/>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0">
    <w:name w:val="Default Paragraph Font"/>
    <w:qFormat/>
    <w:uiPriority w:val="0"/>
  </w:style>
  <w:style w:type="table" w:default="1" w:styleId="58">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beforeLines="0"/>
    </w:pPr>
    <w:rPr>
      <w:rFonts w:ascii="Arial" w:hAnsi="Arial"/>
      <w:sz w:val="24"/>
    </w:rPr>
  </w:style>
  <w:style w:type="paragraph" w:styleId="19">
    <w:name w:val="annotation text"/>
    <w:basedOn w:val="1"/>
    <w:link w:val="70"/>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afterLines="0" w:afterAutospacing="0" w:line="360" w:lineRule="auto"/>
    </w:pPr>
    <w:rPr>
      <w:sz w:val="16"/>
    </w:rPr>
  </w:style>
  <w:style w:type="paragraph" w:styleId="21">
    <w:name w:val="List Bullet 3"/>
    <w:basedOn w:val="1"/>
    <w:qFormat/>
    <w:uiPriority w:val="0"/>
    <w:pPr>
      <w:numPr>
        <w:ilvl w:val="0"/>
        <w:numId w:val="3"/>
      </w:numPr>
      <w:adjustRightInd w:val="0"/>
      <w:snapToGrid w:val="0"/>
      <w:spacing w:line="360" w:lineRule="auto"/>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next w:val="24"/>
    <w:link w:val="71"/>
    <w:qFormat/>
    <w:uiPriority w:val="0"/>
    <w:pPr>
      <w:spacing w:line="700" w:lineRule="exact"/>
      <w:ind w:left="960"/>
    </w:pPr>
    <w:rPr>
      <w:sz w:val="44"/>
    </w:rPr>
  </w:style>
  <w:style w:type="paragraph" w:styleId="24">
    <w:name w:val="envelope return"/>
    <w:basedOn w:val="1"/>
    <w:qFormat/>
    <w:uiPriority w:val="0"/>
    <w:pPr>
      <w:snapToGrid w:val="0"/>
    </w:pPr>
    <w:rPr>
      <w:rFonts w:ascii="Arial" w:hAnsi="Arial"/>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72"/>
    <w:qFormat/>
    <w:uiPriority w:val="0"/>
  </w:style>
  <w:style w:type="paragraph" w:styleId="34">
    <w:name w:val="Body Text Indent 2"/>
    <w:basedOn w:val="1"/>
    <w:link w:val="73"/>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link w:val="74"/>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2">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5">
    <w:name w:val="annotation subject"/>
    <w:basedOn w:val="19"/>
    <w:next w:val="19"/>
    <w:link w:val="75"/>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next w:val="1"/>
    <w:link w:val="76"/>
    <w:qFormat/>
    <w:uiPriority w:val="0"/>
    <w:pPr>
      <w:spacing w:after="120" w:afterLines="0" w:line="240" w:lineRule="auto"/>
      <w:ind w:left="420" w:leftChars="200" w:firstLine="420" w:firstLineChars="200"/>
    </w:pPr>
  </w:style>
  <w:style w:type="table" w:styleId="59">
    <w:name w:val="Table Grid"/>
    <w:basedOn w:val="5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page number"/>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2 Char"/>
    <w:link w:val="3"/>
    <w:qFormat/>
    <w:uiPriority w:val="0"/>
    <w:rPr>
      <w:rFonts w:ascii="Arial" w:hAnsi="Arial" w:eastAsia="黑体"/>
      <w:b/>
      <w:kern w:val="2"/>
      <w:sz w:val="32"/>
    </w:rPr>
  </w:style>
  <w:style w:type="character" w:customStyle="1" w:styleId="69">
    <w:name w:val="标题 3 Char"/>
    <w:link w:val="4"/>
    <w:qFormat/>
    <w:uiPriority w:val="0"/>
    <w:rPr>
      <w:rFonts w:eastAsia="宋体"/>
      <w:b/>
      <w:kern w:val="2"/>
      <w:sz w:val="32"/>
      <w:lang w:val="en-US" w:eastAsia="zh-CN"/>
    </w:rPr>
  </w:style>
  <w:style w:type="character" w:customStyle="1" w:styleId="70">
    <w:name w:val="批注文字 Char"/>
    <w:link w:val="19"/>
    <w:qFormat/>
    <w:uiPriority w:val="0"/>
    <w:rPr>
      <w:sz w:val="24"/>
    </w:rPr>
  </w:style>
  <w:style w:type="character" w:customStyle="1" w:styleId="71">
    <w:name w:val="正文文本缩进 Char"/>
    <w:link w:val="23"/>
    <w:qFormat/>
    <w:uiPriority w:val="0"/>
    <w:rPr>
      <w:kern w:val="2"/>
      <w:sz w:val="44"/>
    </w:rPr>
  </w:style>
  <w:style w:type="character" w:customStyle="1" w:styleId="72">
    <w:name w:val="日期 Char"/>
    <w:link w:val="33"/>
    <w:qFormat/>
    <w:uiPriority w:val="0"/>
    <w:rPr>
      <w:kern w:val="2"/>
      <w:sz w:val="28"/>
    </w:rPr>
  </w:style>
  <w:style w:type="character" w:customStyle="1" w:styleId="73">
    <w:name w:val="正文文本缩进 2 Char"/>
    <w:link w:val="34"/>
    <w:qFormat/>
    <w:uiPriority w:val="0"/>
    <w:rPr>
      <w:kern w:val="2"/>
      <w:sz w:val="28"/>
    </w:rPr>
  </w:style>
  <w:style w:type="character" w:customStyle="1" w:styleId="74">
    <w:name w:val="脚注文本 Char"/>
    <w:link w:val="41"/>
    <w:qFormat/>
    <w:uiPriority w:val="0"/>
    <w:rPr>
      <w:kern w:val="2"/>
      <w:sz w:val="18"/>
    </w:rPr>
  </w:style>
  <w:style w:type="character" w:customStyle="1" w:styleId="75">
    <w:name w:val="批注主题 Char"/>
    <w:link w:val="55"/>
    <w:qFormat/>
    <w:uiPriority w:val="0"/>
  </w:style>
  <w:style w:type="character" w:customStyle="1" w:styleId="76">
    <w:name w:val="正文首行缩进 2 Char"/>
    <w:link w:val="57"/>
    <w:qFormat/>
    <w:uiPriority w:val="0"/>
  </w:style>
  <w:style w:type="character" w:customStyle="1" w:styleId="77">
    <w:name w:val="v151"/>
    <w:qFormat/>
    <w:uiPriority w:val="0"/>
    <w:rPr>
      <w:sz w:val="18"/>
    </w:rPr>
  </w:style>
  <w:style w:type="character" w:customStyle="1" w:styleId="78">
    <w:name w:val=" Char Char7"/>
    <w:qFormat/>
    <w:uiPriority w:val="0"/>
    <w:rPr>
      <w:rFonts w:ascii="宋体" w:hAnsi="宋体" w:eastAsia="宋体"/>
      <w:kern w:val="2"/>
      <w:sz w:val="28"/>
    </w:rPr>
  </w:style>
  <w:style w:type="character" w:customStyle="1" w:styleId="79">
    <w:name w:val="小 Char"/>
    <w:qFormat/>
    <w:uiPriority w:val="0"/>
    <w:rPr>
      <w:rFonts w:ascii="宋体" w:hAnsi="Courier New" w:eastAsia="宋体"/>
      <w:kern w:val="2"/>
      <w:sz w:val="21"/>
      <w:lang w:val="en-US" w:eastAsia="zh-CN" w:bidi="ar-SA"/>
    </w:rPr>
  </w:style>
  <w:style w:type="character" w:customStyle="1" w:styleId="80">
    <w:name w:val="文字 Char"/>
    <w:link w:val="81"/>
    <w:qFormat/>
    <w:uiPriority w:val="0"/>
    <w:rPr>
      <w:rFonts w:ascii="宋体"/>
      <w:kern w:val="2"/>
      <w:sz w:val="28"/>
    </w:rPr>
  </w:style>
  <w:style w:type="paragraph" w:customStyle="1" w:styleId="81">
    <w:name w:val="文字"/>
    <w:basedOn w:val="1"/>
    <w:link w:val="80"/>
    <w:qFormat/>
    <w:uiPriority w:val="0"/>
    <w:pPr>
      <w:tabs>
        <w:tab w:val="left" w:pos="8520"/>
      </w:tabs>
      <w:spacing w:line="312" w:lineRule="auto"/>
      <w:ind w:right="-210" w:firstLine="556"/>
    </w:pPr>
    <w:rPr>
      <w:rFonts w:ascii="宋体"/>
    </w:rPr>
  </w:style>
  <w:style w:type="character" w:customStyle="1" w:styleId="82">
    <w:name w:val="content-white1"/>
    <w:qFormat/>
    <w:uiPriority w:val="0"/>
    <w:rPr>
      <w:rFonts w:ascii="_x000B__x000C_" w:hAnsi="_x000B__x000C_"/>
      <w:color w:val="auto"/>
      <w:sz w:val="18"/>
      <w:u w:val="none"/>
    </w:rPr>
  </w:style>
  <w:style w:type="character" w:customStyle="1" w:styleId="83">
    <w:name w:val="正文 + 三号 Char"/>
    <w:qFormat/>
    <w:uiPriority w:val="0"/>
    <w:rPr>
      <w:rFonts w:eastAsia="宋体"/>
      <w:kern w:val="2"/>
      <w:sz w:val="21"/>
      <w:lang w:val="en-US" w:eastAsia="zh-CN"/>
    </w:rPr>
  </w:style>
  <w:style w:type="character" w:customStyle="1" w:styleId="84">
    <w:name w:val="H2 Char"/>
    <w:qFormat/>
    <w:uiPriority w:val="0"/>
    <w:rPr>
      <w:rFonts w:ascii="Arial" w:hAnsi="Arial" w:eastAsia="宋体"/>
      <w:kern w:val="2"/>
      <w:sz w:val="28"/>
      <w:lang w:val="en-US" w:eastAsia="zh-CN"/>
    </w:rPr>
  </w:style>
  <w:style w:type="character" w:customStyle="1" w:styleId="85">
    <w:name w:val=" Char Char3"/>
    <w:qFormat/>
    <w:uiPriority w:val="0"/>
    <w:rPr>
      <w:rFonts w:eastAsia="宋体"/>
      <w:kern w:val="2"/>
      <w:sz w:val="18"/>
      <w:lang w:val="en-US" w:eastAsia="zh-CN"/>
    </w:rPr>
  </w:style>
  <w:style w:type="character" w:customStyle="1" w:styleId="86">
    <w:name w:val=" Char Char4"/>
    <w:qFormat/>
    <w:uiPriority w:val="0"/>
    <w:rPr>
      <w:rFonts w:eastAsia="宋体"/>
      <w:b/>
      <w:kern w:val="2"/>
      <w:sz w:val="21"/>
      <w:lang w:val="en-US" w:eastAsia="zh-CN"/>
    </w:rPr>
  </w:style>
  <w:style w:type="character" w:customStyle="1" w:styleId="87">
    <w:name w:val="Table Text Char1 Char"/>
    <w:qFormat/>
    <w:uiPriority w:val="0"/>
    <w:rPr>
      <w:rFonts w:ascii="Arial" w:hAnsi="Arial"/>
      <w:kern w:val="2"/>
      <w:sz w:val="18"/>
      <w:lang w:val="en-US" w:eastAsia="zh-CN" w:bidi="ar-SA"/>
    </w:rPr>
  </w:style>
  <w:style w:type="character" w:customStyle="1" w:styleId="88">
    <w:name w:val=" Char Char5"/>
    <w:qFormat/>
    <w:uiPriority w:val="0"/>
    <w:rPr>
      <w:rFonts w:ascii="Arial" w:hAnsi="Arial" w:eastAsia="宋体"/>
      <w:b/>
      <w:smallCaps/>
      <w:kern w:val="28"/>
      <w:sz w:val="36"/>
      <w:lang w:val="en-US" w:eastAsia="en-US"/>
    </w:rPr>
  </w:style>
  <w:style w:type="character" w:customStyle="1" w:styleId="89">
    <w:name w:val=" Char Char"/>
    <w:qFormat/>
    <w:uiPriority w:val="0"/>
    <w:rPr>
      <w:rFonts w:ascii="宋体" w:hAnsi="宋体" w:eastAsia="宋体"/>
      <w:kern w:val="2"/>
      <w:sz w:val="24"/>
      <w:lang w:val="en-US" w:eastAsia="zh-CN" w:bidi="ar-SA"/>
    </w:rPr>
  </w:style>
  <w:style w:type="character" w:customStyle="1" w:styleId="90">
    <w:name w:val="Table Heading Char Char"/>
    <w:qFormat/>
    <w:uiPriority w:val="0"/>
    <w:rPr>
      <w:rFonts w:ascii="Arial" w:hAnsi="Arial" w:eastAsia="黑体"/>
      <w:kern w:val="2"/>
      <w:sz w:val="18"/>
      <w:lang w:val="en-US" w:eastAsia="zh-CN"/>
    </w:rPr>
  </w:style>
  <w:style w:type="character" w:customStyle="1" w:styleId="91">
    <w:name w:val="Table Text Char Char Char Char"/>
    <w:link w:val="92"/>
    <w:qFormat/>
    <w:uiPriority w:val="0"/>
    <w:rPr>
      <w:rFonts w:ascii="Arial" w:hAnsi="Arial"/>
      <w:kern w:val="2"/>
      <w:sz w:val="18"/>
      <w:lang w:val="en-US" w:eastAsia="zh-CN" w:bidi="ar-SA"/>
    </w:rPr>
  </w:style>
  <w:style w:type="paragraph" w:customStyle="1" w:styleId="92">
    <w:name w:val="Table Text Char Char Char"/>
    <w:link w:val="91"/>
    <w:qFormat/>
    <w:uiPriority w:val="0"/>
    <w:pPr>
      <w:snapToGrid w:val="0"/>
      <w:spacing w:before="80" w:after="80"/>
    </w:pPr>
    <w:rPr>
      <w:rFonts w:ascii="Arial" w:hAnsi="Arial" w:eastAsia="宋体" w:cs="Times New Roman"/>
      <w:kern w:val="2"/>
      <w:sz w:val="18"/>
      <w:lang w:val="en-US" w:eastAsia="zh-CN" w:bidi="ar-SA"/>
    </w:rPr>
  </w:style>
  <w:style w:type="character" w:customStyle="1" w:styleId="93">
    <w:name w:val="Table Text Char"/>
    <w:link w:val="94"/>
    <w:qFormat/>
    <w:uiPriority w:val="0"/>
    <w:rPr>
      <w:rFonts w:ascii="Arial" w:hAnsi="Arial"/>
      <w:kern w:val="2"/>
      <w:sz w:val="18"/>
      <w:lang w:val="en-US" w:eastAsia="zh-CN" w:bidi="ar-SA"/>
    </w:rPr>
  </w:style>
  <w:style w:type="paragraph" w:customStyle="1" w:styleId="94">
    <w:name w:val="Table Text"/>
    <w:link w:val="93"/>
    <w:qFormat/>
    <w:uiPriority w:val="0"/>
    <w:pPr>
      <w:snapToGrid w:val="0"/>
      <w:spacing w:before="80" w:after="80"/>
    </w:pPr>
    <w:rPr>
      <w:rFonts w:ascii="Arial" w:hAnsi="Arial" w:eastAsia="宋体" w:cs="Times New Roman"/>
      <w:kern w:val="2"/>
      <w:sz w:val="18"/>
      <w:lang w:val="en-US" w:eastAsia="zh-CN" w:bidi="ar-SA"/>
    </w:rPr>
  </w:style>
  <w:style w:type="character" w:customStyle="1" w:styleId="95">
    <w:name w:val=" Char Char2"/>
    <w:qFormat/>
    <w:uiPriority w:val="0"/>
    <w:rPr>
      <w:rFonts w:eastAsia="宋体"/>
      <w:kern w:val="2"/>
      <w:sz w:val="18"/>
      <w:lang w:val="en-US" w:eastAsia="zh-CN"/>
    </w:rPr>
  </w:style>
  <w:style w:type="character" w:customStyle="1" w:styleId="96">
    <w:name w:val="标书正文:  0.74 厘米 Char1"/>
    <w:qFormat/>
    <w:uiPriority w:val="0"/>
    <w:rPr>
      <w:rFonts w:eastAsia="宋体"/>
      <w:kern w:val="2"/>
      <w:sz w:val="24"/>
      <w:lang w:val="en-US" w:eastAsia="zh-CN"/>
    </w:rPr>
  </w:style>
  <w:style w:type="character" w:customStyle="1" w:styleId="97">
    <w:name w:val="样式 宋体"/>
    <w:qFormat/>
    <w:uiPriority w:val="0"/>
    <w:rPr>
      <w:rFonts w:ascii="宋体" w:hAnsi="宋体" w:eastAsia="宋体"/>
      <w:sz w:val="28"/>
    </w:rPr>
  </w:style>
  <w:style w:type="character" w:customStyle="1" w:styleId="98">
    <w:name w:val="未命名11"/>
    <w:qFormat/>
    <w:uiPriority w:val="0"/>
    <w:rPr>
      <w:color w:val="77FFFF"/>
      <w:sz w:val="24"/>
    </w:rPr>
  </w:style>
  <w:style w:type="character" w:customStyle="1" w:styleId="99">
    <w:name w:val="crowed11"/>
    <w:qFormat/>
    <w:uiPriority w:val="0"/>
    <w:rPr>
      <w:rFonts w:hint="default" w:ascii="_x000B__x000C_" w:hAnsi="_x000B__x000C_"/>
      <w:sz w:val="24"/>
    </w:rPr>
  </w:style>
  <w:style w:type="character" w:customStyle="1" w:styleId="100">
    <w:name w:val=" Char Char6"/>
    <w:qFormat/>
    <w:uiPriority w:val="0"/>
    <w:rPr>
      <w:rFonts w:ascii="仿宋_GB2312" w:eastAsia="仿宋_GB2312"/>
      <w:kern w:val="2"/>
      <w:sz w:val="32"/>
    </w:rPr>
  </w:style>
  <w:style w:type="character" w:customStyle="1" w:styleId="101">
    <w:name w:val="title_emph1"/>
    <w:qFormat/>
    <w:uiPriority w:val="0"/>
    <w:rPr>
      <w:rFonts w:hint="default" w:ascii="Arial" w:hAnsi="Arial"/>
      <w:b/>
      <w:sz w:val="20"/>
    </w:rPr>
  </w:style>
  <w:style w:type="character" w:customStyle="1" w:styleId="102">
    <w:name w:val="font1"/>
    <w:qFormat/>
    <w:uiPriority w:val="0"/>
    <w:rPr>
      <w:color w:val="000000"/>
      <w:sz w:val="18"/>
    </w:rPr>
  </w:style>
  <w:style w:type="character" w:customStyle="1" w:styleId="103">
    <w:name w:val=" Char Char11"/>
    <w:qFormat/>
    <w:uiPriority w:val="0"/>
    <w:rPr>
      <w:rFonts w:ascii="宋体"/>
      <w:kern w:val="2"/>
      <w:sz w:val="28"/>
    </w:rPr>
  </w:style>
  <w:style w:type="character" w:customStyle="1" w:styleId="104">
    <w:name w:val="top-det1"/>
    <w:qFormat/>
    <w:uiPriority w:val="0"/>
    <w:rPr>
      <w:b/>
      <w:color w:val="000000"/>
    </w:rPr>
  </w:style>
  <w:style w:type="paragraph" w:customStyle="1" w:styleId="105">
    <w:name w:val="二级列表"/>
    <w:basedOn w:val="106"/>
    <w:next w:val="106"/>
    <w:qFormat/>
    <w:uiPriority w:val="0"/>
    <w:pPr>
      <w:tabs>
        <w:tab w:val="left" w:pos="2120"/>
      </w:tabs>
      <w:ind w:firstLine="0" w:firstLineChars="0"/>
    </w:pPr>
    <w:rPr>
      <w:b/>
    </w:rPr>
  </w:style>
  <w:style w:type="paragraph" w:customStyle="1" w:styleId="106">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07">
    <w:name w:val="标题3——2"/>
    <w:basedOn w:val="4"/>
    <w:next w:val="56"/>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08">
    <w:name w:val="文本1"/>
    <w:basedOn w:val="1"/>
    <w:qFormat/>
    <w:uiPriority w:val="0"/>
    <w:pPr>
      <w:adjustRightInd w:val="0"/>
      <w:spacing w:line="312" w:lineRule="atLeast"/>
      <w:jc w:val="center"/>
      <w:textAlignment w:val="baseline"/>
    </w:pPr>
    <w:rPr>
      <w:kern w:val="0"/>
      <w:sz w:val="18"/>
    </w:rPr>
  </w:style>
  <w:style w:type="paragraph" w:customStyle="1" w:styleId="109">
    <w:name w:val="Title - Revision"/>
    <w:basedOn w:val="54"/>
    <w:qFormat/>
    <w:uiPriority w:val="0"/>
    <w:pPr>
      <w:spacing w:before="720" w:beforeLines="0" w:beforeAutospacing="0"/>
    </w:pPr>
  </w:style>
  <w:style w:type="paragraph" w:customStyle="1" w:styleId="11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11">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12">
    <w:name w:val="二级条标题"/>
    <w:basedOn w:val="113"/>
    <w:next w:val="115"/>
    <w:qFormat/>
    <w:uiPriority w:val="0"/>
    <w:pPr>
      <w:ind w:left="840"/>
      <w:outlineLvl w:val="3"/>
    </w:pPr>
  </w:style>
  <w:style w:type="paragraph" w:customStyle="1" w:styleId="113">
    <w:name w:val="一级条标题"/>
    <w:basedOn w:val="114"/>
    <w:next w:val="115"/>
    <w:qFormat/>
    <w:uiPriority w:val="0"/>
    <w:pPr>
      <w:numPr>
        <w:ilvl w:val="1"/>
        <w:numId w:val="0"/>
      </w:numPr>
      <w:spacing w:before="0" w:beforeLines="0" w:beforeAutospacing="0" w:after="0" w:afterLines="0" w:afterAutospacing="0"/>
      <w:ind w:left="525"/>
      <w:outlineLvl w:val="2"/>
    </w:pPr>
    <w:rPr>
      <w:sz w:val="21"/>
    </w:rPr>
  </w:style>
  <w:style w:type="paragraph" w:customStyle="1" w:styleId="114">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6">
    <w:name w:val="1.正文"/>
    <w:basedOn w:val="1"/>
    <w:qFormat/>
    <w:uiPriority w:val="0"/>
    <w:pPr>
      <w:spacing w:line="360" w:lineRule="auto"/>
      <w:ind w:left="540" w:leftChars="225" w:firstLine="540" w:firstLineChars="225"/>
    </w:pPr>
    <w:rPr>
      <w:sz w:val="24"/>
    </w:rPr>
  </w:style>
  <w:style w:type="paragraph" w:customStyle="1" w:styleId="117">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18">
    <w:name w:val="编号正文"/>
    <w:basedOn w:val="119"/>
    <w:qFormat/>
    <w:uiPriority w:val="0"/>
    <w:pPr>
      <w:snapToGrid/>
      <w:spacing w:line="360" w:lineRule="auto"/>
      <w:ind w:left="1407" w:hanging="1047"/>
      <w:jc w:val="left"/>
    </w:pPr>
    <w:rPr>
      <w:rFonts w:eastAsia="仿宋_GB2312"/>
    </w:rPr>
  </w:style>
  <w:style w:type="paragraph" w:customStyle="1" w:styleId="11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0">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kern w:val="44"/>
      <w:sz w:val="44"/>
    </w:rPr>
  </w:style>
  <w:style w:type="paragraph" w:customStyle="1" w:styleId="121">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22">
    <w:name w:val="默认段落字体 Para Char Char Char Char Char Char Char Char Char1 Char Char Char Char"/>
    <w:basedOn w:val="1"/>
    <w:qFormat/>
    <w:uiPriority w:val="0"/>
    <w:rPr>
      <w:rFonts w:ascii="Tahoma" w:hAnsi="Tahoma"/>
      <w:sz w:val="24"/>
    </w:rPr>
  </w:style>
  <w:style w:type="paragraph" w:customStyle="1" w:styleId="12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24">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25">
    <w:name w:val=" Char Char14 Char Char"/>
    <w:basedOn w:val="1"/>
    <w:qFormat/>
    <w:uiPriority w:val="0"/>
    <w:rPr>
      <w:sz w:val="21"/>
      <w:szCs w:val="24"/>
    </w:rPr>
  </w:style>
  <w:style w:type="paragraph" w:customStyle="1" w:styleId="126">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27">
    <w:name w:val=" Char2 Char Char Char Char Char Char"/>
    <w:basedOn w:val="1"/>
    <w:qFormat/>
    <w:uiPriority w:val="0"/>
    <w:rPr>
      <w:rFonts w:ascii="仿宋_GB2312"/>
      <w:b/>
      <w:sz w:val="30"/>
    </w:rPr>
  </w:style>
  <w:style w:type="paragraph" w:customStyle="1" w:styleId="128">
    <w:name w:val="_Style 127"/>
    <w:qFormat/>
    <w:uiPriority w:val="0"/>
    <w:rPr>
      <w:rFonts w:ascii="Times New Roman" w:hAnsi="Times New Roman" w:eastAsia="宋体" w:cs="Times New Roman"/>
      <w:kern w:val="2"/>
      <w:sz w:val="21"/>
      <w:lang w:val="en-US" w:eastAsia="zh-CN" w:bidi="ar-SA"/>
    </w:rPr>
  </w:style>
  <w:style w:type="paragraph" w:customStyle="1" w:styleId="129">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0">
    <w:name w:val="正文 + 三号"/>
    <w:basedOn w:val="1"/>
    <w:qFormat/>
    <w:uiPriority w:val="0"/>
    <w:rPr>
      <w:sz w:val="21"/>
    </w:rPr>
  </w:style>
  <w:style w:type="paragraph" w:customStyle="1" w:styleId="131">
    <w:name w:val="样式 首行缩进:  0.74 厘米"/>
    <w:basedOn w:val="1"/>
    <w:qFormat/>
    <w:uiPriority w:val="0"/>
    <w:pPr>
      <w:spacing w:line="360" w:lineRule="auto"/>
      <w:ind w:firstLine="420"/>
    </w:pPr>
    <w:rPr>
      <w:sz w:val="24"/>
    </w:rPr>
  </w:style>
  <w:style w:type="paragraph" w:customStyle="1" w:styleId="132">
    <w:name w:val="样式 样式 首行缩进:  2 字符 + 首行缩进:  2 字符"/>
    <w:basedOn w:val="1"/>
    <w:qFormat/>
    <w:uiPriority w:val="0"/>
    <w:pPr>
      <w:numPr>
        <w:ilvl w:val="0"/>
        <w:numId w:val="6"/>
      </w:numPr>
      <w:tabs>
        <w:tab w:val="clear" w:pos="1230"/>
      </w:tabs>
      <w:spacing w:line="360" w:lineRule="auto"/>
      <w:ind w:firstLine="480" w:firstLineChars="200"/>
    </w:pPr>
    <w:rPr>
      <w:sz w:val="24"/>
    </w:rPr>
  </w:style>
  <w:style w:type="paragraph" w:customStyle="1" w:styleId="133">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3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Table Contents"/>
    <w:basedOn w:val="22"/>
    <w:qFormat/>
    <w:uiPriority w:val="0"/>
    <w:pPr>
      <w:suppressAutoHyphens/>
      <w:jc w:val="left"/>
    </w:pPr>
    <w:rPr>
      <w:rFonts w:ascii="Times New Roman" w:eastAsia="Times New Roman"/>
      <w:kern w:val="0"/>
      <w:sz w:val="24"/>
    </w:rPr>
  </w:style>
  <w:style w:type="paragraph" w:customStyle="1" w:styleId="136">
    <w:name w:val="表格文本"/>
    <w:qFormat/>
    <w:uiPriority w:val="0"/>
    <w:pPr>
      <w:tabs>
        <w:tab w:val="decimal" w:pos="0"/>
      </w:tabs>
    </w:pPr>
    <w:rPr>
      <w:rFonts w:ascii="Arial" w:hAnsi="Arial" w:eastAsia="宋体" w:cs="Times New Roman"/>
      <w:sz w:val="21"/>
      <w:lang w:val="en-US" w:eastAsia="zh-CN" w:bidi="ar-SA"/>
    </w:rPr>
  </w:style>
  <w:style w:type="paragraph" w:customStyle="1" w:styleId="137">
    <w:name w:val=" Char Char Char Char Char Char Char"/>
    <w:basedOn w:val="1"/>
    <w:qFormat/>
    <w:uiPriority w:val="0"/>
    <w:rPr>
      <w:rFonts w:ascii="Tahoma" w:hAnsi="Tahoma"/>
      <w:sz w:val="24"/>
    </w:rPr>
  </w:style>
  <w:style w:type="paragraph" w:customStyle="1" w:styleId="138">
    <w:name w:val="样式2"/>
    <w:basedOn w:val="5"/>
    <w:qFormat/>
    <w:uiPriority w:val="0"/>
    <w:pPr>
      <w:numPr>
        <w:ilvl w:val="0"/>
        <w:numId w:val="7"/>
      </w:numPr>
      <w:spacing w:before="560" w:beforeLines="0" w:line="400" w:lineRule="exact"/>
      <w:jc w:val="center"/>
      <w:outlineLvl w:val="0"/>
    </w:pPr>
    <w:rPr>
      <w:b w:val="0"/>
      <w:sz w:val="44"/>
    </w:rPr>
  </w:style>
  <w:style w:type="paragraph" w:customStyle="1" w:styleId="139">
    <w:name w:val="内容标题"/>
    <w:basedOn w:val="17"/>
    <w:qFormat/>
    <w:uiPriority w:val="0"/>
    <w:rPr>
      <w:rFonts w:ascii="Tahoma" w:hAnsi="Tahoma"/>
      <w:sz w:val="24"/>
    </w:rPr>
  </w:style>
  <w:style w:type="paragraph" w:customStyle="1" w:styleId="140">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41">
    <w:name w:val="1"/>
    <w:basedOn w:val="1"/>
    <w:next w:val="31"/>
    <w:qFormat/>
    <w:uiPriority w:val="0"/>
    <w:rPr>
      <w:rFonts w:ascii="宋体" w:hAnsi="Courier New"/>
      <w:sz w:val="21"/>
    </w:rPr>
  </w:style>
  <w:style w:type="paragraph" w:customStyle="1" w:styleId="142">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43">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44">
    <w:name w:val="Char Char Char Char Char Char Char"/>
    <w:basedOn w:val="17"/>
    <w:qFormat/>
    <w:uiPriority w:val="0"/>
    <w:rPr>
      <w:rFonts w:ascii="宋体" w:hAnsi="Tahoma"/>
    </w:rPr>
  </w:style>
  <w:style w:type="paragraph" w:customStyle="1" w:styleId="145">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46">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正文首行缩进 2 + 首行缩进:  2 字符"/>
    <w:basedOn w:val="1"/>
    <w:qFormat/>
    <w:uiPriority w:val="0"/>
    <w:pPr>
      <w:numPr>
        <w:ilvl w:val="0"/>
        <w:numId w:val="8"/>
      </w:numPr>
      <w:adjustRightInd w:val="0"/>
      <w:snapToGrid w:val="0"/>
      <w:spacing w:line="360" w:lineRule="auto"/>
    </w:pPr>
    <w:rPr>
      <w:rFonts w:ascii="Arial" w:hAnsi="Arial"/>
      <w:b/>
      <w:sz w:val="24"/>
    </w:rPr>
  </w:style>
  <w:style w:type="paragraph" w:customStyle="1" w:styleId="148">
    <w:name w:val="样式 行距: 1.5 倍行距1"/>
    <w:basedOn w:val="1"/>
    <w:qFormat/>
    <w:uiPriority w:val="0"/>
    <w:pPr>
      <w:snapToGrid w:val="0"/>
    </w:pPr>
    <w:rPr>
      <w:sz w:val="21"/>
    </w:rPr>
  </w:style>
  <w:style w:type="paragraph" w:customStyle="1" w:styleId="14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0">
    <w:name w:val="00"/>
    <w:basedOn w:val="1"/>
    <w:qFormat/>
    <w:uiPriority w:val="0"/>
    <w:pPr>
      <w:autoSpaceDE w:val="0"/>
      <w:autoSpaceDN w:val="0"/>
      <w:adjustRightInd w:val="0"/>
      <w:jc w:val="left"/>
    </w:pPr>
    <w:rPr>
      <w:rFonts w:ascii="黑体" w:eastAsia="黑体"/>
      <w:b/>
      <w:kern w:val="0"/>
      <w:sz w:val="20"/>
    </w:rPr>
  </w:style>
  <w:style w:type="paragraph" w:customStyle="1" w:styleId="151">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52">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3">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54">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155">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56">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157">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58">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59">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60">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63">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64">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65">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66">
    <w:name w:val="关键词"/>
    <w:basedOn w:val="1"/>
    <w:next w:val="1"/>
    <w:qFormat/>
    <w:uiPriority w:val="0"/>
    <w:pPr>
      <w:spacing w:line="360" w:lineRule="auto"/>
    </w:pPr>
    <w:rPr>
      <w:rFonts w:eastAsia="黑体"/>
      <w:sz w:val="20"/>
    </w:rPr>
  </w:style>
  <w:style w:type="paragraph" w:customStyle="1" w:styleId="167">
    <w:name w:val="Title - Date"/>
    <w:basedOn w:val="54"/>
    <w:next w:val="1"/>
    <w:qFormat/>
    <w:uiPriority w:val="0"/>
    <w:pPr>
      <w:spacing w:before="240" w:beforeLines="0" w:beforeAutospacing="0" w:after="720" w:afterLines="0" w:afterAutospacing="0"/>
    </w:pPr>
    <w:rPr>
      <w:sz w:val="28"/>
    </w:rPr>
  </w:style>
  <w:style w:type="paragraph" w:customStyle="1" w:styleId="168">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69">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17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71">
    <w:name w:val="表号"/>
    <w:basedOn w:val="1"/>
    <w:qFormat/>
    <w:uiPriority w:val="0"/>
    <w:pPr>
      <w:numPr>
        <w:ilvl w:val="0"/>
        <w:numId w:val="9"/>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72">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3">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174">
    <w:name w:val="样式4"/>
    <w:basedOn w:val="5"/>
    <w:qFormat/>
    <w:uiPriority w:val="0"/>
    <w:pPr>
      <w:adjustRightInd w:val="0"/>
      <w:snapToGrid w:val="0"/>
    </w:pPr>
  </w:style>
  <w:style w:type="paragraph" w:customStyle="1" w:styleId="175">
    <w:name w:val="摘要"/>
    <w:basedOn w:val="1"/>
    <w:next w:val="3"/>
    <w:qFormat/>
    <w:uiPriority w:val="0"/>
    <w:pPr>
      <w:spacing w:line="360" w:lineRule="auto"/>
    </w:pPr>
    <w:rPr>
      <w:rFonts w:eastAsia="黑体"/>
      <w:sz w:val="20"/>
    </w:rPr>
  </w:style>
  <w:style w:type="paragraph" w:customStyle="1" w:styleId="176">
    <w:name w:val=" Char Char 字元 字元 字元 Char Char Char Char"/>
    <w:basedOn w:val="1"/>
    <w:qFormat/>
    <w:uiPriority w:val="0"/>
    <w:pPr>
      <w:adjustRightInd w:val="0"/>
      <w:spacing w:line="360" w:lineRule="auto"/>
    </w:pPr>
    <w:rPr>
      <w:kern w:val="0"/>
      <w:sz w:val="24"/>
    </w:rPr>
  </w:style>
  <w:style w:type="paragraph" w:customStyle="1" w:styleId="177">
    <w:name w:val="可研正文"/>
    <w:basedOn w:val="22"/>
    <w:qFormat/>
    <w:uiPriority w:val="0"/>
    <w:pPr>
      <w:adjustRightInd w:val="0"/>
      <w:snapToGrid w:val="0"/>
      <w:spacing w:line="440" w:lineRule="exact"/>
      <w:ind w:firstLine="567"/>
    </w:pPr>
    <w:rPr>
      <w:sz w:val="28"/>
    </w:rPr>
  </w:style>
  <w:style w:type="paragraph" w:customStyle="1" w:styleId="178">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9">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8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1">
    <w:name w:val="标书正文:  0.74 厘米"/>
    <w:basedOn w:val="1"/>
    <w:qFormat/>
    <w:uiPriority w:val="0"/>
    <w:pPr>
      <w:snapToGrid w:val="0"/>
      <w:spacing w:line="360" w:lineRule="auto"/>
      <w:ind w:firstLine="420"/>
    </w:pPr>
    <w:rPr>
      <w:sz w:val="24"/>
    </w:rPr>
  </w:style>
  <w:style w:type="paragraph" w:customStyle="1" w:styleId="182">
    <w:name w:val="样式 正文缩进正文（首行缩进两字）表正文正文非缩进特点标题4段1 + 首行缩进:  2 字符"/>
    <w:basedOn w:val="15"/>
    <w:qFormat/>
    <w:uiPriority w:val="0"/>
    <w:pPr>
      <w:ind w:firstLine="480" w:firstLineChars="200"/>
    </w:pPr>
  </w:style>
  <w:style w:type="paragraph" w:customStyle="1" w:styleId="18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84">
    <w:name w:val=" Char1 Char Char Char"/>
    <w:basedOn w:val="1"/>
    <w:qFormat/>
    <w:uiPriority w:val="0"/>
    <w:rPr>
      <w:rFonts w:ascii="Tahoma" w:hAnsi="Tahoma"/>
      <w:sz w:val="24"/>
    </w:rPr>
  </w:style>
  <w:style w:type="paragraph" w:customStyle="1" w:styleId="185">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kern w:val="44"/>
      <w:sz w:val="36"/>
    </w:rPr>
  </w:style>
  <w:style w:type="paragraph" w:customStyle="1" w:styleId="186">
    <w:name w:val="文章正文"/>
    <w:basedOn w:val="1"/>
    <w:qFormat/>
    <w:uiPriority w:val="0"/>
    <w:pPr>
      <w:ind w:firstLine="560" w:firstLineChars="200"/>
    </w:pPr>
    <w:rPr>
      <w:rFonts w:ascii="仿宋_GB2312" w:hAnsi="宋体" w:eastAsia="仿宋_GB2312"/>
      <w:color w:val="000000"/>
    </w:rPr>
  </w:style>
  <w:style w:type="paragraph" w:customStyle="1" w:styleId="18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8">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189">
    <w:name w:val=" Char Char1 Char"/>
    <w:basedOn w:val="1"/>
    <w:qFormat/>
    <w:uiPriority w:val="0"/>
    <w:rPr>
      <w:rFonts w:ascii="Tahoma" w:hAnsi="Tahoma"/>
      <w:sz w:val="24"/>
      <w:szCs w:val="24"/>
    </w:rPr>
  </w:style>
  <w:style w:type="paragraph" w:customStyle="1" w:styleId="190">
    <w:name w:val="Item List"/>
    <w:qFormat/>
    <w:uiPriority w:val="0"/>
    <w:pPr>
      <w:numPr>
        <w:ilvl w:val="0"/>
        <w:numId w:val="10"/>
      </w:numPr>
      <w:spacing w:line="300" w:lineRule="auto"/>
      <w:jc w:val="both"/>
    </w:pPr>
    <w:rPr>
      <w:rFonts w:ascii="Arial" w:hAnsi="Arial" w:eastAsia="宋体" w:cs="Times New Roman"/>
      <w:sz w:val="21"/>
      <w:lang w:val="en-US" w:eastAsia="zh-CN" w:bidi="ar-SA"/>
    </w:rPr>
  </w:style>
  <w:style w:type="paragraph" w:customStyle="1" w:styleId="191">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192">
    <w:name w:val="Char"/>
    <w:basedOn w:val="1"/>
    <w:qFormat/>
    <w:uiPriority w:val="0"/>
    <w:pPr>
      <w:spacing w:line="240" w:lineRule="atLeast"/>
      <w:ind w:left="420" w:firstLine="420"/>
    </w:pPr>
    <w:rPr>
      <w:kern w:val="0"/>
      <w:sz w:val="21"/>
    </w:rPr>
  </w:style>
  <w:style w:type="paragraph" w:customStyle="1" w:styleId="193">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4">
    <w:name w:val="Char1 Char Char Char"/>
    <w:basedOn w:val="1"/>
    <w:qFormat/>
    <w:uiPriority w:val="0"/>
    <w:rPr>
      <w:rFonts w:ascii="Tahoma" w:hAnsi="Tahoma"/>
      <w:sz w:val="30"/>
    </w:rPr>
  </w:style>
  <w:style w:type="paragraph" w:customStyle="1" w:styleId="195">
    <w:name w:val="表头文本"/>
    <w:qFormat/>
    <w:uiPriority w:val="0"/>
    <w:pPr>
      <w:jc w:val="center"/>
    </w:pPr>
    <w:rPr>
      <w:rFonts w:ascii="Arial" w:hAnsi="Arial" w:eastAsia="宋体" w:cs="Times New Roman"/>
      <w:b/>
      <w:sz w:val="21"/>
      <w:lang w:val="en-US" w:eastAsia="zh-CN" w:bidi="ar-SA"/>
    </w:rPr>
  </w:style>
  <w:style w:type="paragraph" w:customStyle="1" w:styleId="196">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97">
    <w:name w:val=" Char Char Char"/>
    <w:basedOn w:val="1"/>
    <w:qFormat/>
    <w:uiPriority w:val="0"/>
    <w:rPr>
      <w:rFonts w:ascii="Tahoma" w:hAnsi="Tahoma"/>
      <w:sz w:val="24"/>
    </w:rPr>
  </w:style>
  <w:style w:type="paragraph" w:customStyle="1" w:styleId="198">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99">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00">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kern w:val="44"/>
      <w:sz w:val="32"/>
    </w:rPr>
  </w:style>
  <w:style w:type="paragraph" w:customStyle="1" w:styleId="201">
    <w:name w:val="默认段落字体 Para Char Char Char Char Char Char Char"/>
    <w:basedOn w:val="1"/>
    <w:qFormat/>
    <w:uiPriority w:val="0"/>
    <w:rPr>
      <w:rFonts w:ascii="Tahoma" w:hAnsi="Tahoma"/>
      <w:sz w:val="24"/>
    </w:rPr>
  </w:style>
  <w:style w:type="paragraph" w:customStyle="1" w:styleId="202">
    <w:name w:val="IN Feature"/>
    <w:next w:val="203"/>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3">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04">
    <w:name w:val="首行缩进"/>
    <w:basedOn w:val="1"/>
    <w:qFormat/>
    <w:uiPriority w:val="0"/>
    <w:pPr>
      <w:numPr>
        <w:ilvl w:val="0"/>
        <w:numId w:val="11"/>
      </w:numPr>
      <w:spacing w:line="360" w:lineRule="auto"/>
    </w:pPr>
    <w:rPr>
      <w:rFonts w:eastAsia="仿宋_GB2312"/>
    </w:rPr>
  </w:style>
  <w:style w:type="paragraph" w:customStyle="1" w:styleId="205">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06">
    <w:name w:val="正文表格"/>
    <w:basedOn w:val="1"/>
    <w:qFormat/>
    <w:uiPriority w:val="0"/>
    <w:pPr>
      <w:adjustRightInd w:val="0"/>
      <w:spacing w:before="40" w:beforeLines="0" w:beforeAutospacing="0" w:after="40" w:afterLines="0" w:afterAutospacing="0"/>
    </w:pPr>
    <w:rPr>
      <w:sz w:val="24"/>
    </w:rPr>
  </w:style>
  <w:style w:type="paragraph" w:customStyle="1" w:styleId="207">
    <w:name w:val="表文字"/>
    <w:qFormat/>
    <w:uiPriority w:val="0"/>
    <w:rPr>
      <w:rFonts w:ascii="宋体" w:hAnsi="Times New Roman" w:eastAsia="宋体" w:cs="Times New Roman"/>
      <w:kern w:val="2"/>
      <w:lang w:val="en-US" w:eastAsia="zh-CN" w:bidi="ar-SA"/>
    </w:rPr>
  </w:style>
  <w:style w:type="paragraph" w:customStyle="1" w:styleId="208">
    <w:name w:val="表格内文字"/>
    <w:basedOn w:val="31"/>
    <w:qFormat/>
    <w:uiPriority w:val="0"/>
    <w:pPr>
      <w:adjustRightInd w:val="0"/>
    </w:pPr>
    <w:rPr>
      <w:color w:val="000000"/>
      <w:lang w:val="en-GB"/>
    </w:rPr>
  </w:style>
  <w:style w:type="paragraph" w:customStyle="1" w:styleId="209">
    <w:name w:val="Body Text Indent 2"/>
    <w:basedOn w:val="1"/>
    <w:qFormat/>
    <w:uiPriority w:val="0"/>
    <w:pPr>
      <w:adjustRightInd w:val="0"/>
      <w:spacing w:before="120" w:beforeLines="0" w:beforeAutospacing="0"/>
      <w:ind w:firstLine="420"/>
      <w:textAlignment w:val="baseline"/>
    </w:pPr>
    <w:rPr>
      <w:sz w:val="24"/>
    </w:rPr>
  </w:style>
  <w:style w:type="paragraph" w:customStyle="1" w:styleId="210">
    <w:name w:val="标题无"/>
    <w:basedOn w:val="1"/>
    <w:qFormat/>
    <w:uiPriority w:val="0"/>
    <w:pPr>
      <w:spacing w:line="360" w:lineRule="auto"/>
    </w:pPr>
    <w:rPr>
      <w:sz w:val="24"/>
    </w:rPr>
  </w:style>
  <w:style w:type="paragraph" w:customStyle="1" w:styleId="211">
    <w:name w:val="af"/>
    <w:basedOn w:val="1"/>
    <w:qFormat/>
    <w:uiPriority w:val="0"/>
    <w:pPr>
      <w:widowControl/>
      <w:spacing w:line="300" w:lineRule="atLeast"/>
      <w:jc w:val="left"/>
    </w:pPr>
    <w:rPr>
      <w:rFonts w:ascii="宋体" w:hAnsi="宋体"/>
      <w:kern w:val="0"/>
      <w:sz w:val="18"/>
    </w:rPr>
  </w:style>
  <w:style w:type="paragraph" w:customStyle="1" w:styleId="212">
    <w:name w:val="简单回函地址"/>
    <w:basedOn w:val="1"/>
    <w:qFormat/>
    <w:uiPriority w:val="0"/>
    <w:pPr>
      <w:adjustRightInd w:val="0"/>
      <w:snapToGrid w:val="0"/>
      <w:spacing w:line="360" w:lineRule="auto"/>
    </w:pPr>
    <w:rPr>
      <w:sz w:val="24"/>
    </w:rPr>
  </w:style>
  <w:style w:type="paragraph" w:customStyle="1" w:styleId="21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4">
    <w:name w:val="正文（首行不缩进）"/>
    <w:basedOn w:val="1"/>
    <w:qFormat/>
    <w:uiPriority w:val="0"/>
    <w:pPr>
      <w:autoSpaceDE w:val="0"/>
      <w:autoSpaceDN w:val="0"/>
      <w:adjustRightInd w:val="0"/>
      <w:spacing w:line="360" w:lineRule="auto"/>
      <w:jc w:val="left"/>
    </w:pPr>
    <w:rPr>
      <w:kern w:val="0"/>
      <w:sz w:val="21"/>
    </w:rPr>
  </w:style>
  <w:style w:type="paragraph" w:customStyle="1" w:styleId="215">
    <w:name w:val="正文1"/>
    <w:basedOn w:val="1"/>
    <w:qFormat/>
    <w:uiPriority w:val="0"/>
    <w:pPr>
      <w:spacing w:line="300" w:lineRule="auto"/>
      <w:ind w:firstLine="200" w:firstLineChars="200"/>
    </w:pPr>
    <w:rPr>
      <w:sz w:val="24"/>
    </w:rPr>
  </w:style>
  <w:style w:type="paragraph" w:customStyle="1" w:styleId="216">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18">
    <w:name w:val="表头样式"/>
    <w:basedOn w:val="1"/>
    <w:qFormat/>
    <w:uiPriority w:val="0"/>
    <w:pPr>
      <w:autoSpaceDE w:val="0"/>
      <w:autoSpaceDN w:val="0"/>
      <w:adjustRightInd w:val="0"/>
      <w:spacing w:line="360" w:lineRule="auto"/>
      <w:jc w:val="left"/>
    </w:pPr>
    <w:rPr>
      <w:b/>
      <w:kern w:val="0"/>
      <w:sz w:val="21"/>
    </w:rPr>
  </w:style>
  <w:style w:type="paragraph" w:customStyle="1" w:styleId="219">
    <w:name w:val="图片文字"/>
    <w:basedOn w:val="1"/>
    <w:qFormat/>
    <w:uiPriority w:val="0"/>
    <w:pPr>
      <w:spacing w:line="240" w:lineRule="atLeast"/>
      <w:jc w:val="center"/>
    </w:pPr>
    <w:rPr>
      <w:sz w:val="21"/>
    </w:rPr>
  </w:style>
  <w:style w:type="paragraph" w:customStyle="1" w:styleId="220">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221">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22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23">
    <w:name w:val="首行缩进 1"/>
    <w:basedOn w:val="1"/>
    <w:qFormat/>
    <w:uiPriority w:val="0"/>
    <w:pPr>
      <w:spacing w:after="120" w:afterLines="0" w:afterAutospacing="0" w:line="360" w:lineRule="auto"/>
      <w:ind w:firstLine="200" w:firstLineChars="200"/>
    </w:pPr>
    <w:rPr>
      <w:sz w:val="24"/>
    </w:rPr>
  </w:style>
  <w:style w:type="paragraph" w:customStyle="1" w:styleId="224">
    <w:name w:val=" Char"/>
    <w:basedOn w:val="1"/>
    <w:qFormat/>
    <w:uiPriority w:val="0"/>
    <w:pPr>
      <w:spacing w:line="240" w:lineRule="atLeast"/>
      <w:ind w:left="420" w:firstLine="420"/>
    </w:pPr>
    <w:rPr>
      <w:kern w:val="0"/>
      <w:sz w:val="21"/>
    </w:rPr>
  </w:style>
  <w:style w:type="paragraph" w:customStyle="1" w:styleId="22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26">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27">
    <w:name w:val="样式1xz"/>
    <w:basedOn w:val="1"/>
    <w:qFormat/>
    <w:uiPriority w:val="0"/>
    <w:pPr>
      <w:tabs>
        <w:tab w:val="left" w:pos="1050"/>
        <w:tab w:val="right" w:leader="dot" w:pos="8296"/>
      </w:tabs>
    </w:pPr>
    <w:rPr>
      <w:caps/>
      <w:spacing w:val="20"/>
      <w:sz w:val="24"/>
    </w:rPr>
  </w:style>
  <w:style w:type="paragraph" w:customStyle="1" w:styleId="228">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29">
    <w:name w:val=" Char1"/>
    <w:basedOn w:val="1"/>
    <w:qFormat/>
    <w:uiPriority w:val="0"/>
    <w:rPr>
      <w:sz w:val="21"/>
    </w:rPr>
  </w:style>
  <w:style w:type="paragraph" w:customStyle="1" w:styleId="230">
    <w:name w:val="Note"/>
    <w:basedOn w:val="1"/>
    <w:qFormat/>
    <w:uiPriority w:val="0"/>
    <w:pPr>
      <w:pBdr>
        <w:top w:val="single" w:color="auto" w:sz="12" w:space="3"/>
        <w:bottom w:val="single" w:color="auto" w:sz="12" w:space="3"/>
      </w:pBdr>
      <w:spacing w:line="360" w:lineRule="auto"/>
    </w:pPr>
    <w:rPr>
      <w:sz w:val="24"/>
    </w:rPr>
  </w:style>
  <w:style w:type="paragraph" w:customStyle="1" w:styleId="231">
    <w:name w:val=" Char Char Char Char Char Char Char Char Char Char Char Char Char Char Char Char"/>
    <w:basedOn w:val="1"/>
    <w:qFormat/>
    <w:uiPriority w:val="0"/>
    <w:pPr>
      <w:tabs>
        <w:tab w:val="left" w:pos="360"/>
      </w:tabs>
    </w:pPr>
    <w:rPr>
      <w:sz w:val="24"/>
    </w:rPr>
  </w:style>
  <w:style w:type="paragraph" w:customStyle="1" w:styleId="232">
    <w:name w:val="样式 宋体 五号 行距: 单倍行距"/>
    <w:basedOn w:val="1"/>
    <w:qFormat/>
    <w:uiPriority w:val="0"/>
    <w:pPr>
      <w:adjustRightInd w:val="0"/>
      <w:jc w:val="left"/>
    </w:pPr>
    <w:rPr>
      <w:rFonts w:ascii="宋体" w:hAnsi="宋体"/>
      <w:kern w:val="0"/>
      <w:sz w:val="21"/>
    </w:rPr>
  </w:style>
  <w:style w:type="paragraph" w:customStyle="1" w:styleId="23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34">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35">
    <w:name w:val="bt"/>
    <w:basedOn w:val="1"/>
    <w:next w:val="2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36">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37">
    <w:name w:val="表内文字"/>
    <w:basedOn w:val="1"/>
    <w:qFormat/>
    <w:uiPriority w:val="0"/>
    <w:pPr>
      <w:jc w:val="left"/>
    </w:pPr>
    <w:rPr>
      <w:rFonts w:ascii="仿宋_GB2312" w:eastAsia="仿宋_GB2312"/>
      <w:szCs w:val="21"/>
    </w:rPr>
  </w:style>
  <w:style w:type="paragraph" w:customStyle="1" w:styleId="238">
    <w:name w:val="表格"/>
    <w:basedOn w:val="31"/>
    <w:next w:val="1"/>
    <w:link w:val="239"/>
    <w:qFormat/>
    <w:uiPriority w:val="0"/>
    <w:pPr>
      <w:ind w:firstLine="0" w:firstLineChars="0"/>
      <w:jc w:val="center"/>
    </w:pPr>
    <w:rPr>
      <w:rFonts w:ascii="仿宋" w:hAnsi="仿宋"/>
      <w:bCs/>
      <w:sz w:val="24"/>
      <w:szCs w:val="24"/>
    </w:rPr>
  </w:style>
  <w:style w:type="character" w:customStyle="1" w:styleId="239">
    <w:name w:val="表格 Char"/>
    <w:link w:val="238"/>
    <w:qFormat/>
    <w:uiPriority w:val="0"/>
    <w:rPr>
      <w:rFonts w:ascii="仿宋" w:hAnsi="仿宋"/>
      <w:bCs/>
      <w:sz w:val="24"/>
      <w:szCs w:val="24"/>
    </w:rPr>
  </w:style>
  <w:style w:type="paragraph" w:styleId="240">
    <w:name w:val="List Paragraph"/>
    <w:basedOn w:val="1"/>
    <w:qFormat/>
    <w:uiPriority w:val="99"/>
    <w:pPr>
      <w:ind w:firstLine="420" w:firstLineChars="200"/>
    </w:pPr>
    <w:rPr>
      <w:rFonts w:ascii="Times New Roman" w:hAnsi="Times New Roman" w:eastAsia="宋体" w:cs="Times New Roman"/>
      <w:szCs w:val="20"/>
    </w:rPr>
  </w:style>
  <w:style w:type="paragraph" w:customStyle="1" w:styleId="241">
    <w:name w:val="Table Paragraph"/>
    <w:basedOn w:val="1"/>
    <w:unhideWhenUsed/>
    <w:qFormat/>
    <w:uiPriority w:val="1"/>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theme" Target="theme/theme1.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83</Pages>
  <Words>18158</Words>
  <Characters>19081</Characters>
  <Lines>292</Lines>
  <Paragraphs>82</Paragraphs>
  <TotalTime>82</TotalTime>
  <ScaleCrop>false</ScaleCrop>
  <LinksUpToDate>false</LinksUpToDate>
  <CharactersWithSpaces>19226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2022-06-13T08:41:00Z</dcterms:created>
  <dc:creator>周媛媛</dc:creator>
  <cp:lastModifiedBy>工管</cp:lastModifiedBy>
  <cp:lastPrinted>2025-08-01T01:26:00Z</cp:lastPrinted>
  <dcterms:modified xsi:type="dcterms:W3CDTF">2026-01-14T09:49:13Z</dcterms:modified>
  <dc:title>竞争性谈判文件</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eyJoZGlkIjoiYWUzMDhkZjgwM2ZkNmE4YTFjMDAwZTRjY2E2MDE0ZGIiLCJ1c2VySWQiOiI0ODU5ODQxNDAifQ==</vt:lpwstr>
  </property>
  <property fmtid="{D5CDD505-2E9C-101B-9397-08002B2CF9AE}" pid="4" name="ICV">
    <vt:lpwstr>851CF9D187F2453B8910505516915462_13</vt:lpwstr>
  </property>
</Properties>
</file>