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AFF6E">
      <w:pPr>
        <w:spacing w:line="500" w:lineRule="exact"/>
        <w:jc w:val="left"/>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附件</w:t>
      </w:r>
      <w:r>
        <w:rPr>
          <w:rFonts w:hint="default" w:ascii="Times New Roman" w:hAnsi="Times New Roman" w:eastAsia="方正仿宋_GBK" w:cs="Times New Roman"/>
          <w:sz w:val="32"/>
          <w:szCs w:val="32"/>
          <w:lang w:val="en-US" w:eastAsia="zh-CN"/>
        </w:rPr>
        <w:t>1：</w:t>
      </w:r>
    </w:p>
    <w:p w14:paraId="23237A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lang w:val="en-US"/>
        </w:rPr>
      </w:pPr>
      <w:r>
        <w:rPr>
          <w:rFonts w:hint="eastAsia" w:ascii="Times New Roman" w:hAnsi="Times New Roman" w:eastAsia="方正小标宋_GBK" w:cs="Times New Roman"/>
          <w:sz w:val="44"/>
          <w:szCs w:val="44"/>
          <w:highlight w:val="none"/>
          <w:lang w:val="en-US" w:eastAsia="zh-CN"/>
        </w:rPr>
        <w:t>中虎国际开展图像识别算法研究</w:t>
      </w:r>
      <w:r>
        <w:rPr>
          <w:rFonts w:hint="eastAsia" w:eastAsia="方正小标宋_GBK" w:cs="Times New Roman"/>
          <w:sz w:val="44"/>
          <w:szCs w:val="44"/>
          <w:highlight w:val="none"/>
          <w:lang w:val="en-US" w:eastAsia="zh-CN"/>
        </w:rPr>
        <w:t>项目服务器租赁采购详细技术需求</w:t>
      </w:r>
    </w:p>
    <w:p w14:paraId="7F157D4A">
      <w:pPr>
        <w:rPr>
          <w:rFonts w:hint="eastAsia" w:cs="Times New Roman"/>
          <w:sz w:val="32"/>
          <w:szCs w:val="32"/>
          <w:highlight w:val="none"/>
          <w:lang w:val="en-US" w:eastAsia="zh-CN"/>
        </w:rPr>
      </w:pPr>
    </w:p>
    <w:p w14:paraId="75C0211D">
      <w:pPr>
        <w:rPr>
          <w:rFonts w:hint="eastAsia" w:cs="Times New Roman"/>
          <w:b/>
          <w:bCs/>
          <w:sz w:val="32"/>
          <w:szCs w:val="32"/>
          <w:highlight w:val="none"/>
          <w:lang w:val="en-US" w:eastAsia="zh-CN"/>
        </w:rPr>
      </w:pPr>
      <w:r>
        <w:rPr>
          <w:rFonts w:hint="eastAsia" w:cs="Times New Roman"/>
          <w:b/>
          <w:bCs/>
          <w:sz w:val="32"/>
          <w:szCs w:val="32"/>
          <w:highlight w:val="none"/>
          <w:lang w:val="en-US" w:eastAsia="zh-CN"/>
        </w:rPr>
        <w:t>一、项目训练需求总体说明</w:t>
      </w:r>
    </w:p>
    <w:p w14:paraId="3A8858B0">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本项目面向复杂视频场景下的中大型深度学习模型训练与验证，模型参数规模设计在 1 亿～10 亿级，训练目标涵盖多场景、多时序、多模态特征的联合建模与持续优化。</w:t>
      </w:r>
    </w:p>
    <w:p w14:paraId="739F926A">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项目建设目标不仅是完成单模型训练，而是形成一套具备持续训练能力、支持模型快速迭代和场景扩展的训练环境，以满足后续算法升级和业务规模化应用需求。</w:t>
      </w:r>
    </w:p>
    <w:p w14:paraId="2CB6B053">
      <w:pPr>
        <w:rPr>
          <w:rFonts w:hint="eastAsia" w:cs="Times New Roman"/>
          <w:b/>
          <w:bCs/>
          <w:sz w:val="32"/>
          <w:szCs w:val="32"/>
          <w:highlight w:val="none"/>
          <w:lang w:val="en-US" w:eastAsia="zh-CN"/>
        </w:rPr>
      </w:pPr>
      <w:r>
        <w:rPr>
          <w:rFonts w:hint="eastAsia" w:cs="Times New Roman"/>
          <w:b/>
          <w:bCs/>
          <w:sz w:val="32"/>
          <w:szCs w:val="32"/>
          <w:highlight w:val="none"/>
          <w:lang w:val="en-US" w:eastAsia="zh-CN"/>
        </w:rPr>
        <w:t>二、模型训练任务的核心技术需求</w:t>
      </w:r>
    </w:p>
    <w:p w14:paraId="5EAF357B">
      <w:pPr>
        <w:ind w:firstLine="420" w:firstLineChars="0"/>
        <w:rPr>
          <w:rFonts w:hint="eastAsia" w:cs="Times New Roman"/>
          <w:b/>
          <w:bCs/>
          <w:sz w:val="32"/>
          <w:szCs w:val="32"/>
          <w:highlight w:val="none"/>
          <w:lang w:val="en-US" w:eastAsia="zh-CN"/>
        </w:rPr>
      </w:pPr>
      <w:r>
        <w:rPr>
          <w:rFonts w:hint="eastAsia" w:cs="Times New Roman"/>
          <w:b/>
          <w:bCs/>
          <w:sz w:val="32"/>
          <w:szCs w:val="32"/>
          <w:highlight w:val="none"/>
          <w:lang w:val="en-US" w:eastAsia="zh-CN"/>
        </w:rPr>
        <w:t>（一）高显存容量需求</w:t>
      </w:r>
    </w:p>
    <w:p w14:paraId="367944B9">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在实际训练过程中，模型参数、梯度及优化器状态需同时驻留于显存中。同时，视频模型在多层网络结构和时序建模过程中将产生大量中间激活数据，其显存占用规模通常显著高于模型参数本身。</w:t>
      </w:r>
    </w:p>
    <w:p w14:paraId="38C06381">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在支持百级以上 Batch Size 和复杂网络结构的条件下，训练任务对单卡显存容量提出了大显存、低碎片、高稳定性的基础要求。</w:t>
      </w:r>
    </w:p>
    <w:p w14:paraId="4250169C">
      <w:pPr>
        <w:ind w:firstLine="420" w:firstLineChars="0"/>
        <w:rPr>
          <w:rFonts w:hint="eastAsia" w:cs="Times New Roman"/>
          <w:b/>
          <w:bCs/>
          <w:sz w:val="32"/>
          <w:szCs w:val="32"/>
          <w:highlight w:val="none"/>
          <w:lang w:val="en-US" w:eastAsia="zh-CN"/>
        </w:rPr>
      </w:pPr>
      <w:r>
        <w:rPr>
          <w:rFonts w:hint="eastAsia" w:cs="Times New Roman"/>
          <w:b/>
          <w:bCs/>
          <w:sz w:val="32"/>
          <w:szCs w:val="32"/>
          <w:highlight w:val="none"/>
          <w:lang w:val="en-US" w:eastAsia="zh-CN"/>
        </w:rPr>
        <w:t>（二）多路高清视频并行处理需求</w:t>
      </w:r>
    </w:p>
    <w:p w14:paraId="63C32072">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本项目训练任务需支持 16～64 路高清视频数据并行参与训练。在端到端训练模式下，视频解码、预处理、特征缓存与模型计算高度耦合，形成持续的显存与计算资源占用。</w:t>
      </w:r>
    </w:p>
    <w:p w14:paraId="1D4242BB">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该类并行视频训练场景对加速计算单元提出了以下能力要求：</w:t>
      </w:r>
    </w:p>
    <w:p w14:paraId="07FCA291">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1. 同时承载多路视频输入与模型前向、反向计算；</w:t>
      </w:r>
    </w:p>
    <w:p w14:paraId="7DD4637E">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2. 支撑高吞吐的矩阵计算与时序特征建模；</w:t>
      </w:r>
    </w:p>
    <w:p w14:paraId="6E86DE31">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3. 在长时间训练过程中保持资源占用稳定，避免频繁中断。</w:t>
      </w:r>
    </w:p>
    <w:p w14:paraId="3215EF3C">
      <w:pPr>
        <w:ind w:firstLine="420" w:firstLineChars="0"/>
        <w:rPr>
          <w:rFonts w:hint="eastAsia" w:cs="Times New Roman"/>
          <w:b/>
          <w:bCs/>
          <w:sz w:val="32"/>
          <w:szCs w:val="32"/>
          <w:highlight w:val="none"/>
          <w:lang w:val="en-US" w:eastAsia="zh-CN"/>
        </w:rPr>
      </w:pPr>
      <w:r>
        <w:rPr>
          <w:rFonts w:hint="eastAsia" w:cs="Times New Roman"/>
          <w:b/>
          <w:bCs/>
          <w:sz w:val="32"/>
          <w:szCs w:val="32"/>
          <w:highlight w:val="none"/>
          <w:lang w:val="en-US" w:eastAsia="zh-CN"/>
        </w:rPr>
        <w:t>（三）大 Batch 训练与稳定收敛需求</w:t>
      </w:r>
    </w:p>
    <w:p w14:paraId="4641CB5E">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为保障模型训练的收敛效率和稳定性，本项目需采用 百级以上的全局 Batch Size。在视频模型中，大 Batch 将显著放大中间激活和临时张量规模，对显存容量与计算资源提出同步要求。</w:t>
      </w:r>
    </w:p>
    <w:p w14:paraId="0F935D76">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训练环境需在不牺牲 Batch 规模的前提下，持续支撑完整训练流程，确保模型性能与训练效率。</w:t>
      </w:r>
    </w:p>
    <w:p w14:paraId="442A269E">
      <w:pPr>
        <w:rPr>
          <w:rFonts w:hint="eastAsia" w:cs="Times New Roman"/>
          <w:b/>
          <w:bCs/>
          <w:sz w:val="32"/>
          <w:szCs w:val="32"/>
          <w:highlight w:val="none"/>
          <w:lang w:val="en-US" w:eastAsia="zh-CN"/>
        </w:rPr>
      </w:pPr>
      <w:r>
        <w:rPr>
          <w:rFonts w:hint="eastAsia" w:cs="Times New Roman"/>
          <w:b/>
          <w:bCs/>
          <w:sz w:val="32"/>
          <w:szCs w:val="32"/>
          <w:highlight w:val="none"/>
          <w:lang w:val="en-US" w:eastAsia="zh-CN"/>
        </w:rPr>
        <w:t>三、训练系统层面的资源配置要求</w:t>
      </w:r>
    </w:p>
    <w:p w14:paraId="60231F3D">
      <w:pPr>
        <w:ind w:firstLine="420" w:firstLineChars="0"/>
        <w:rPr>
          <w:rFonts w:hint="eastAsia" w:cs="Times New Roman"/>
          <w:b/>
          <w:bCs/>
          <w:sz w:val="32"/>
          <w:szCs w:val="32"/>
          <w:highlight w:val="none"/>
          <w:lang w:val="en-US" w:eastAsia="zh-CN"/>
        </w:rPr>
      </w:pPr>
      <w:r>
        <w:rPr>
          <w:rFonts w:hint="eastAsia" w:cs="Times New Roman"/>
          <w:b/>
          <w:bCs/>
          <w:sz w:val="32"/>
          <w:szCs w:val="32"/>
          <w:highlight w:val="none"/>
          <w:lang w:val="en-US" w:eastAsia="zh-CN"/>
        </w:rPr>
        <w:t>（一）单节点协同训练架构需求</w:t>
      </w:r>
    </w:p>
    <w:p w14:paraId="6A481FE9">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基于上述模型规模、并行视频路数及 Batch Size 要求，训练系统需采用单节点内多加速计算单元协同工作的架构，以实现：</w:t>
      </w:r>
    </w:p>
    <w:p w14:paraId="65E2C886">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1. 模型状态、中间激活与数据缓存的合理分布；</w:t>
      </w:r>
    </w:p>
    <w:p w14:paraId="55227D65">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2. 计算负载与显存占用的有效均衡；</w:t>
      </w:r>
    </w:p>
    <w:p w14:paraId="19DA0871">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3. 在不引入跨节点通信复杂度的前提下，保障训练效率与稳定性。</w:t>
      </w:r>
    </w:p>
    <w:p w14:paraId="07DC9115">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4. 该架构能够在工程实现复杂度、训练效率与可扩展性之间取得良好平衡。</w:t>
      </w:r>
    </w:p>
    <w:p w14:paraId="51AED622">
      <w:pPr>
        <w:ind w:firstLine="420" w:firstLineChars="0"/>
        <w:rPr>
          <w:rFonts w:hint="eastAsia" w:cs="Times New Roman"/>
          <w:b/>
          <w:bCs/>
          <w:sz w:val="32"/>
          <w:szCs w:val="32"/>
          <w:highlight w:val="none"/>
          <w:lang w:val="en-US" w:eastAsia="zh-CN"/>
        </w:rPr>
      </w:pPr>
      <w:r>
        <w:rPr>
          <w:rFonts w:hint="eastAsia" w:cs="Times New Roman"/>
          <w:b/>
          <w:bCs/>
          <w:sz w:val="32"/>
          <w:szCs w:val="32"/>
          <w:highlight w:val="none"/>
          <w:lang w:val="en-US" w:eastAsia="zh-CN"/>
        </w:rPr>
        <w:t>（二）显存规模与计算能力配置要求</w:t>
      </w:r>
    </w:p>
    <w:p w14:paraId="6AEE0E01">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结合视频训练场景中中间激活峰值高、显存占用波动大的特点，训练系统需配置高显存的加速计算单元，以满足以下需求：</w:t>
      </w:r>
    </w:p>
    <w:p w14:paraId="0F4E0468">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1. 支撑复杂网络结构与长时序建模的显存峰值；</w:t>
      </w:r>
    </w:p>
    <w:p w14:paraId="7F4E7F28">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2. 为多路并行视频输入和大 Batch 训练预留充分冗余；</w:t>
      </w:r>
    </w:p>
    <w:p w14:paraId="13633FE1">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3. 降低对激进显存优化策略的依赖，提升训练稳定性；</w:t>
      </w:r>
    </w:p>
    <w:p w14:paraId="7EFCEE81">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4. 为模型规模与分辨率的后续提升预留扩展空间。</w:t>
      </w:r>
    </w:p>
    <w:p w14:paraId="184BEB9E">
      <w:pPr>
        <w:ind w:firstLine="420" w:firstLineChars="0"/>
        <w:rPr>
          <w:rFonts w:hint="eastAsia" w:cs="Times New Roman"/>
          <w:b/>
          <w:bCs/>
          <w:sz w:val="32"/>
          <w:szCs w:val="32"/>
          <w:highlight w:val="none"/>
          <w:lang w:val="en-US" w:eastAsia="zh-CN"/>
        </w:rPr>
      </w:pPr>
      <w:r>
        <w:rPr>
          <w:rFonts w:hint="eastAsia" w:cs="Times New Roman"/>
          <w:b/>
          <w:bCs/>
          <w:sz w:val="32"/>
          <w:szCs w:val="32"/>
          <w:highlight w:val="none"/>
          <w:lang w:val="en-US" w:eastAsia="zh-CN"/>
        </w:rPr>
        <w:t>（三）加速计算单元规模需求</w:t>
      </w:r>
    </w:p>
    <w:p w14:paraId="603ABA7B">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在满足显存容量要求的基础上，训练系统需配置多张高显存加速计算单元协同工作，以实现：</w:t>
      </w:r>
    </w:p>
    <w:p w14:paraId="54F6AE8B">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1. 百级 Batch Size 条件下的有效并行计算；</w:t>
      </w:r>
    </w:p>
    <w:p w14:paraId="4312F227">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2. 多路视频数据的实时处理与模型训练并行推进；</w:t>
      </w:r>
    </w:p>
    <w:p w14:paraId="468061FF">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3. 合理的训练周期控制，支撑模型快速迭代。</w:t>
      </w:r>
    </w:p>
    <w:p w14:paraId="6C1B9B20">
      <w:pPr>
        <w:rPr>
          <w:rFonts w:hint="eastAsia" w:cs="Times New Roman"/>
          <w:sz w:val="32"/>
          <w:szCs w:val="32"/>
          <w:highlight w:val="none"/>
          <w:lang w:val="en-US" w:eastAsia="zh-CN"/>
        </w:rPr>
      </w:pPr>
      <w:r>
        <w:rPr>
          <w:rFonts w:hint="eastAsia" w:cs="Times New Roman"/>
          <w:b/>
          <w:bCs/>
          <w:sz w:val="32"/>
          <w:szCs w:val="32"/>
          <w:highlight w:val="none"/>
          <w:lang w:val="en-US" w:eastAsia="zh-CN"/>
        </w:rPr>
        <w:t>四、系统建设目标与扩展能力</w:t>
      </w:r>
    </w:p>
    <w:p w14:paraId="1EC34647">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该配置方案在满足当前训练需求的同时，具备良好的扩展与演进能力：</w:t>
      </w:r>
    </w:p>
    <w:p w14:paraId="23E97B37">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1. 可通过增加节点或扩展加速卡数量支撑更大规模训练；</w:t>
      </w:r>
    </w:p>
    <w:p w14:paraId="33C95E0C">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2. 可适配模型参数规模、视频分辨率及并行路数的进一步提升；</w:t>
      </w:r>
    </w:p>
    <w:p w14:paraId="1BD9FF32">
      <w:pPr>
        <w:ind w:firstLine="420" w:firstLineChars="0"/>
        <w:rPr>
          <w:rFonts w:hint="eastAsia" w:cs="Times New Roman"/>
          <w:sz w:val="32"/>
          <w:szCs w:val="32"/>
          <w:highlight w:val="none"/>
          <w:lang w:val="en-US" w:eastAsia="zh-CN"/>
        </w:rPr>
      </w:pPr>
      <w:r>
        <w:rPr>
          <w:rFonts w:hint="eastAsia" w:cs="Times New Roman"/>
          <w:sz w:val="32"/>
          <w:szCs w:val="32"/>
          <w:highlight w:val="none"/>
          <w:lang w:val="en-US" w:eastAsia="zh-CN"/>
        </w:rPr>
        <w:t>3. 为后续多模型并行训练与持续优化提供稳定算力基础。</w:t>
      </w:r>
    </w:p>
    <w:p w14:paraId="7137AACD">
      <w:pPr>
        <w:ind w:firstLine="420" w:firstLineChars="0"/>
        <w:rPr>
          <w:rFonts w:hint="eastAsia" w:cs="Times New Roman"/>
          <w:sz w:val="32"/>
          <w:szCs w:val="32"/>
          <w:highlight w:val="none"/>
          <w:lang w:val="en-US" w:eastAsia="zh-CN"/>
        </w:rPr>
      </w:pPr>
    </w:p>
    <w:p w14:paraId="40EC3F83">
      <w:pPr>
        <w:ind w:firstLine="420" w:firstLineChars="0"/>
        <w:rPr>
          <w:rFonts w:hint="eastAsia" w:cs="Times New Roman"/>
          <w:sz w:val="32"/>
          <w:szCs w:val="32"/>
          <w:highlight w:val="none"/>
          <w:lang w:val="en-US" w:eastAsia="zh-CN"/>
        </w:rPr>
      </w:pPr>
    </w:p>
    <w:p w14:paraId="7EFD557C">
      <w:pPr>
        <w:ind w:firstLine="420" w:firstLineChars="0"/>
        <w:jc w:val="right"/>
        <w:rPr>
          <w:rFonts w:hint="default" w:cs="Times New Roman"/>
          <w:sz w:val="32"/>
          <w:szCs w:val="32"/>
          <w:highlight w:val="none"/>
          <w:lang w:val="en-US" w:eastAsia="zh-CN"/>
        </w:rPr>
      </w:pPr>
      <w:r>
        <w:rPr>
          <w:rFonts w:hint="eastAsia" w:cs="Times New Roman"/>
          <w:sz w:val="32"/>
          <w:szCs w:val="32"/>
          <w:highlight w:val="none"/>
          <w:lang w:val="en-US" w:eastAsia="zh-CN"/>
        </w:rPr>
        <w:t>联系人：</w:t>
      </w:r>
      <w:bookmarkStart w:id="0" w:name="_GoBack"/>
      <w:bookmarkEnd w:id="0"/>
      <w:r>
        <w:rPr>
          <w:rFonts w:hint="eastAsia" w:cs="Times New Roman"/>
          <w:sz w:val="32"/>
          <w:szCs w:val="32"/>
          <w:highlight w:val="none"/>
          <w:lang w:val="en-US" w:eastAsia="zh-CN"/>
        </w:rPr>
        <w:t>叶老师（17384098712）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12821"/>
    <w:rsid w:val="1CA12821"/>
    <w:rsid w:val="31817A46"/>
    <w:rsid w:val="3D550EF7"/>
    <w:rsid w:val="4EEA7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1240</Words>
  <Characters>1304</Characters>
  <Lines>0</Lines>
  <Paragraphs>0</Paragraphs>
  <TotalTime>173</TotalTime>
  <ScaleCrop>false</ScaleCrop>
  <LinksUpToDate>false</LinksUpToDate>
  <CharactersWithSpaces>1346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2025-12-16T09:18:00Z</dcterms:created>
  <dc:creator>叶</dc:creator>
  <cp:lastModifiedBy>let it go</cp:lastModifiedBy>
  <dcterms:modified xsi:type="dcterms:W3CDTF">2025-12-22T05:37:46Z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F6A0722ED4C14AF79237B82698D65953_11</vt:lpwstr>
  </property>
  <property fmtid="{D5CDD505-2E9C-101B-9397-08002B2CF9AE}" pid="4" name="KSOTemplateDocerSaveRecord">
    <vt:lpwstr>eyJoZGlkIjoiM2UzNzE1NWViZDhlNGRlZDVjZWZlNmUzOTM3ZjVjZWMiLCJ1c2VySWQiOiIyNjk1NzMzMTAifQ==</vt:lpwstr>
  </property>
</Properties>
</file>