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482" w:firstLineChars="200"/>
        <w:rPr>
          <w:rFonts w:hint="eastAsia" w:ascii="宋体" w:hAnsi="宋体" w:cs="宋体"/>
          <w:b/>
          <w:bCs/>
          <w:color w:val="auto"/>
          <w:sz w:val="24"/>
          <w:szCs w:val="24"/>
          <w:highlight w:val="none"/>
        </w:rPr>
      </w:pPr>
    </w:p>
    <w:p>
      <w:pPr>
        <w:autoSpaceDE w:val="0"/>
        <w:autoSpaceDN w:val="0"/>
        <w:adjustRightInd w:val="0"/>
        <w:snapToGrid w:val="0"/>
        <w:spacing w:line="360" w:lineRule="auto"/>
        <w:rPr>
          <w:rFonts w:hint="eastAsia" w:ascii="宋体" w:eastAsia="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重咨集团2025年办公家具类采购（第三次）</w:t>
      </w:r>
    </w:p>
    <w:p>
      <w:pPr>
        <w:autoSpaceDE w:val="0"/>
        <w:autoSpaceDN w:val="0"/>
        <w:adjustRightInd w:val="0"/>
        <w:snapToGrid w:val="0"/>
        <w:spacing w:line="360" w:lineRule="auto"/>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项目编号：0611-2500791194AS </w:t>
      </w:r>
    </w:p>
    <w:p>
      <w:pPr>
        <w:autoSpaceDE w:val="0"/>
        <w:autoSpaceDN w:val="0"/>
        <w:adjustRightInd w:val="0"/>
        <w:snapToGrid w:val="0"/>
        <w:spacing w:line="360" w:lineRule="auto"/>
        <w:ind w:firstLine="643" w:firstLineChars="200"/>
        <w:rPr>
          <w:rFonts w:ascii="宋体"/>
          <w:b/>
          <w:bCs/>
          <w:color w:val="auto"/>
          <w:sz w:val="32"/>
          <w:szCs w:val="32"/>
          <w:highlight w:val="none"/>
        </w:rPr>
      </w:pP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rPr>
        <w:t xml:space="preserve"> </w:t>
      </w:r>
    </w:p>
    <w:p>
      <w:pPr>
        <w:widowControl/>
        <w:spacing w:line="360" w:lineRule="auto"/>
        <w:ind w:firstLine="675" w:firstLineChars="224"/>
        <w:jc w:val="center"/>
        <w:rPr>
          <w:rFonts w:ascii="宋体"/>
          <w:b/>
          <w:bCs/>
          <w:color w:val="auto"/>
          <w:sz w:val="30"/>
          <w:szCs w:val="30"/>
          <w:highlight w:val="none"/>
        </w:rPr>
      </w:pPr>
    </w:p>
    <w:p>
      <w:pPr>
        <w:widowControl/>
        <w:spacing w:line="360" w:lineRule="auto"/>
        <w:ind w:firstLine="675" w:firstLineChars="224"/>
        <w:jc w:val="center"/>
        <w:rPr>
          <w:rFonts w:ascii="宋体"/>
          <w:b/>
          <w:bCs/>
          <w:color w:val="auto"/>
          <w:sz w:val="30"/>
          <w:szCs w:val="30"/>
          <w:highlight w:val="none"/>
        </w:rPr>
      </w:pPr>
    </w:p>
    <w:p>
      <w:pPr>
        <w:widowControl/>
        <w:spacing w:line="360" w:lineRule="auto"/>
        <w:jc w:val="center"/>
        <w:rPr>
          <w:rFonts w:ascii="宋体"/>
          <w:color w:val="auto"/>
          <w:kern w:val="0"/>
          <w:sz w:val="96"/>
          <w:szCs w:val="96"/>
          <w:highlight w:val="none"/>
        </w:rPr>
      </w:pPr>
      <w:r>
        <w:rPr>
          <w:rFonts w:hint="eastAsia" w:ascii="宋体" w:hAnsi="宋体" w:cs="宋体"/>
          <w:b/>
          <w:bCs/>
          <w:color w:val="auto"/>
          <w:sz w:val="96"/>
          <w:szCs w:val="96"/>
          <w:highlight w:val="none"/>
        </w:rPr>
        <w:t>竞争性比选文件</w:t>
      </w:r>
    </w:p>
    <w:p>
      <w:pPr>
        <w:spacing w:line="360" w:lineRule="auto"/>
        <w:ind w:firstLine="672" w:firstLineChars="224"/>
        <w:rPr>
          <w:rFonts w:ascii="宋体"/>
          <w:color w:val="auto"/>
          <w:sz w:val="30"/>
          <w:szCs w:val="30"/>
          <w:highlight w:val="none"/>
        </w:rPr>
      </w:pPr>
    </w:p>
    <w:p>
      <w:pPr>
        <w:pStyle w:val="7"/>
        <w:rPr>
          <w:color w:val="auto"/>
          <w:highlight w:val="none"/>
        </w:rPr>
      </w:pPr>
    </w:p>
    <w:p>
      <w:pPr>
        <w:spacing w:line="360" w:lineRule="auto"/>
        <w:ind w:firstLine="672" w:firstLineChars="224"/>
        <w:rPr>
          <w:rFonts w:ascii="宋体"/>
          <w:color w:val="auto"/>
          <w:sz w:val="30"/>
          <w:szCs w:val="30"/>
          <w:highlight w:val="none"/>
        </w:rPr>
      </w:pPr>
      <w:r>
        <w:rPr>
          <w:rFonts w:hint="eastAsia" w:ascii="宋体"/>
          <w:color w:val="auto"/>
          <w:sz w:val="30"/>
          <w:szCs w:val="30"/>
          <w:highlight w:val="none"/>
        </w:rPr>
        <w:t xml:space="preserve">                  </w:t>
      </w:r>
      <w:r>
        <w:rPr>
          <w:rFonts w:ascii="宋体"/>
          <w:color w:val="auto"/>
          <w:sz w:val="30"/>
          <w:szCs w:val="30"/>
          <w:highlight w:val="none"/>
        </w:rPr>
        <w:drawing>
          <wp:inline distT="0" distB="0" distL="114300" distR="114300">
            <wp:extent cx="1600200" cy="9690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1600200" cy="969010"/>
                    </a:xfrm>
                    <a:prstGeom prst="rect">
                      <a:avLst/>
                    </a:prstGeom>
                    <a:noFill/>
                    <a:ln>
                      <a:noFill/>
                    </a:ln>
                  </pic:spPr>
                </pic:pic>
              </a:graphicData>
            </a:graphic>
          </wp:inline>
        </w:drawing>
      </w:r>
    </w:p>
    <w:p>
      <w:pPr>
        <w:spacing w:line="360" w:lineRule="auto"/>
        <w:ind w:firstLine="672" w:firstLineChars="224"/>
        <w:rPr>
          <w:rFonts w:ascii="宋体"/>
          <w:color w:val="auto"/>
          <w:sz w:val="30"/>
          <w:szCs w:val="30"/>
          <w:highlight w:val="none"/>
        </w:rPr>
      </w:pPr>
    </w:p>
    <w:p>
      <w:pPr>
        <w:spacing w:line="360" w:lineRule="auto"/>
        <w:rPr>
          <w:rFonts w:ascii="宋体"/>
          <w:color w:val="auto"/>
          <w:sz w:val="30"/>
          <w:szCs w:val="30"/>
          <w:highlight w:val="none"/>
        </w:rPr>
      </w:pPr>
    </w:p>
    <w:p>
      <w:pPr>
        <w:spacing w:line="360" w:lineRule="auto"/>
        <w:ind w:left="-359" w:leftChars="-171"/>
        <w:rPr>
          <w:rFonts w:ascii="宋体"/>
          <w:b/>
          <w:bCs/>
          <w:color w:val="auto"/>
          <w:sz w:val="30"/>
          <w:szCs w:val="30"/>
          <w:highlight w:val="none"/>
        </w:rPr>
      </w:pPr>
    </w:p>
    <w:p>
      <w:pPr>
        <w:pStyle w:val="40"/>
        <w:rPr>
          <w:color w:val="auto"/>
          <w:highlight w:val="none"/>
        </w:rPr>
      </w:pPr>
    </w:p>
    <w:p>
      <w:pPr>
        <w:spacing w:line="360" w:lineRule="auto"/>
        <w:ind w:left="-359" w:leftChars="-171"/>
        <w:rPr>
          <w:rFonts w:ascii="宋体"/>
          <w:b/>
          <w:bCs/>
          <w:color w:val="auto"/>
          <w:sz w:val="30"/>
          <w:szCs w:val="30"/>
          <w:highlight w:val="none"/>
        </w:rPr>
      </w:pPr>
    </w:p>
    <w:p>
      <w:pPr>
        <w:spacing w:line="360" w:lineRule="auto"/>
        <w:ind w:left="420" w:leftChars="200" w:firstLine="318" w:firstLineChars="99"/>
        <w:rPr>
          <w:rFonts w:hint="eastAsia" w:ascii="宋体" w:hAnsi="宋体" w:eastAsia="宋体" w:cs="宋体"/>
          <w:b/>
          <w:bCs/>
          <w:color w:val="auto"/>
          <w:sz w:val="32"/>
          <w:szCs w:val="32"/>
          <w:highlight w:val="none"/>
          <w:u w:val="single"/>
          <w:lang w:eastAsia="zh-CN"/>
        </w:rPr>
      </w:pPr>
      <w:r>
        <w:rPr>
          <w:rFonts w:hint="eastAsia" w:ascii="宋体" w:hAnsi="宋体" w:cs="宋体"/>
          <w:b/>
          <w:bCs/>
          <w:color w:val="auto"/>
          <w:sz w:val="32"/>
          <w:szCs w:val="32"/>
          <w:highlight w:val="none"/>
        </w:rPr>
        <w:t>比 选 人</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u w:val="single"/>
          <w:lang w:eastAsia="zh-CN"/>
        </w:rPr>
        <w:t>重庆国际投资咨询集团有限公司</w:t>
      </w:r>
    </w:p>
    <w:p>
      <w:pPr>
        <w:spacing w:line="360" w:lineRule="auto"/>
        <w:ind w:left="420" w:leftChars="200" w:firstLine="318" w:firstLineChars="99"/>
        <w:rPr>
          <w:rFonts w:ascii="宋体"/>
          <w:b/>
          <w:bCs/>
          <w:color w:val="auto"/>
          <w:sz w:val="32"/>
          <w:szCs w:val="32"/>
          <w:highlight w:val="none"/>
          <w:u w:val="single"/>
        </w:rPr>
      </w:pPr>
      <w:r>
        <w:rPr>
          <w:rFonts w:hint="eastAsia" w:ascii="宋体" w:hAnsi="宋体" w:cs="宋体"/>
          <w:b/>
          <w:bCs/>
          <w:color w:val="auto"/>
          <w:sz w:val="32"/>
          <w:szCs w:val="32"/>
          <w:highlight w:val="none"/>
        </w:rPr>
        <w:t>代理机构：</w:t>
      </w:r>
      <w:r>
        <w:rPr>
          <w:rFonts w:hint="eastAsia" w:ascii="宋体" w:hAnsi="宋体" w:cs="宋体"/>
          <w:b/>
          <w:bCs/>
          <w:color w:val="auto"/>
          <w:sz w:val="32"/>
          <w:szCs w:val="32"/>
          <w:highlight w:val="none"/>
          <w:u w:val="single"/>
        </w:rPr>
        <w:t>重庆招标采购（集团）有限责任公司</w:t>
      </w:r>
    </w:p>
    <w:p>
      <w:pPr>
        <w:spacing w:line="360" w:lineRule="auto"/>
        <w:ind w:firstLine="716" w:firstLineChars="224"/>
        <w:jc w:val="center"/>
        <w:rPr>
          <w:rFonts w:ascii="宋体"/>
          <w:color w:val="auto"/>
          <w:sz w:val="32"/>
          <w:szCs w:val="32"/>
          <w:highlight w:val="none"/>
        </w:rPr>
      </w:pPr>
    </w:p>
    <w:p>
      <w:pPr>
        <w:spacing w:line="360" w:lineRule="auto"/>
        <w:jc w:val="center"/>
        <w:rPr>
          <w:rFonts w:hint="eastAsia" w:ascii="宋体" w:eastAsia="宋体"/>
          <w:b/>
          <w:bCs/>
          <w:color w:val="auto"/>
          <w:sz w:val="32"/>
          <w:szCs w:val="32"/>
          <w:highlight w:val="none"/>
          <w:lang w:val="en-US" w:eastAsia="zh-CN"/>
        </w:rPr>
      </w:pPr>
      <w:r>
        <w:rPr>
          <w:rFonts w:hint="eastAsia" w:ascii="宋体" w:hAnsi="宋体" w:cs="宋体"/>
          <w:b/>
          <w:bCs/>
          <w:color w:val="auto"/>
          <w:sz w:val="32"/>
          <w:szCs w:val="32"/>
          <w:highlight w:val="none"/>
        </w:rPr>
        <w:t>二</w:t>
      </w:r>
      <w:r>
        <w:rPr>
          <w:rFonts w:ascii="宋体" w:cs="宋体"/>
          <w:b/>
          <w:bCs/>
          <w:color w:val="auto"/>
          <w:sz w:val="32"/>
          <w:szCs w:val="32"/>
          <w:highlight w:val="none"/>
        </w:rPr>
        <w:t>0</w:t>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十二</w:t>
      </w:r>
      <w:r>
        <w:rPr>
          <w:rFonts w:hint="eastAsia" w:ascii="宋体" w:hAnsi="宋体" w:cs="宋体"/>
          <w:b/>
          <w:bCs/>
          <w:color w:val="auto"/>
          <w:sz w:val="32"/>
          <w:szCs w:val="32"/>
          <w:highlight w:val="none"/>
          <w:lang w:eastAsia="zh-CN"/>
        </w:rPr>
        <w:t>月</w:t>
      </w:r>
    </w:p>
    <w:p>
      <w:pPr>
        <w:spacing w:line="360" w:lineRule="auto"/>
        <w:jc w:val="center"/>
        <w:rPr>
          <w:rFonts w:ascii="宋体"/>
          <w:b/>
          <w:bCs/>
          <w:color w:val="auto"/>
          <w:sz w:val="32"/>
          <w:szCs w:val="32"/>
          <w:highlight w:val="none"/>
        </w:rPr>
      </w:pPr>
    </w:p>
    <w:p>
      <w:pPr>
        <w:pStyle w:val="53"/>
        <w:tabs>
          <w:tab w:val="right" w:leader="dot" w:pos="9610"/>
        </w:tabs>
        <w:spacing w:line="360" w:lineRule="auto"/>
        <w:jc w:val="center"/>
        <w:rPr>
          <w:rFonts w:hint="eastAsia" w:ascii="宋体" w:hAnsi="宋体" w:cs="宋体"/>
          <w:b/>
          <w:bCs/>
          <w:color w:val="auto"/>
          <w:highlight w:val="none"/>
        </w:rPr>
      </w:pPr>
    </w:p>
    <w:p>
      <w:pPr>
        <w:pStyle w:val="53"/>
        <w:tabs>
          <w:tab w:val="right" w:leader="dot" w:pos="9610"/>
        </w:tabs>
        <w:spacing w:line="360" w:lineRule="auto"/>
        <w:jc w:val="center"/>
        <w:rPr>
          <w:rFonts w:ascii="Times New Roman" w:hAnsi="Times New Roman" w:eastAsia="宋体" w:cs="Times New Roman"/>
          <w:color w:val="auto"/>
          <w:highlight w:val="none"/>
          <w:lang w:val="en-US" w:eastAsia="zh-CN" w:bidi="ar-SA"/>
        </w:rPr>
      </w:pPr>
      <w:r>
        <w:rPr>
          <w:rFonts w:hint="eastAsia" w:ascii="宋体" w:hAnsi="宋体" w:cs="宋体"/>
          <w:b/>
          <w:bCs/>
          <w:color w:val="auto"/>
          <w:sz w:val="28"/>
          <w:szCs w:val="28"/>
          <w:highlight w:val="none"/>
        </w:rPr>
        <w:t>目</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rPr>
        <w:t>录</w:t>
      </w: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40"/>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_Toc12596 </w:instrText>
      </w:r>
      <w:r>
        <w:rPr>
          <w:color w:val="auto"/>
          <w:sz w:val="24"/>
          <w:szCs w:val="24"/>
          <w:highlight w:val="none"/>
        </w:rPr>
        <w:fldChar w:fldCharType="separate"/>
      </w:r>
      <w:r>
        <w:rPr>
          <w:rFonts w:hint="eastAsia" w:ascii="宋体" w:hAnsi="宋体" w:cs="宋体"/>
          <w:bCs/>
          <w:color w:val="auto"/>
          <w:sz w:val="24"/>
          <w:szCs w:val="36"/>
          <w:highlight w:val="none"/>
        </w:rPr>
        <w:t xml:space="preserve">第一部分 </w:t>
      </w:r>
      <w:r>
        <w:rPr>
          <w:rFonts w:hint="eastAsia" w:ascii="宋体" w:hAnsi="宋体" w:cs="宋体"/>
          <w:bCs/>
          <w:color w:val="auto"/>
          <w:sz w:val="24"/>
          <w:szCs w:val="36"/>
          <w:highlight w:val="none"/>
          <w:lang w:eastAsia="zh-CN"/>
        </w:rPr>
        <w:t>竞争性</w:t>
      </w:r>
      <w:r>
        <w:rPr>
          <w:rFonts w:hint="eastAsia" w:ascii="宋体" w:hAnsi="宋体" w:cs="宋体"/>
          <w:bCs/>
          <w:color w:val="auto"/>
          <w:sz w:val="24"/>
          <w:szCs w:val="36"/>
          <w:highlight w:val="none"/>
        </w:rPr>
        <w:t>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_Toc12596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40"/>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_Toc3620 </w:instrText>
      </w:r>
      <w:r>
        <w:rPr>
          <w:color w:val="auto"/>
          <w:sz w:val="24"/>
          <w:szCs w:val="24"/>
          <w:highlight w:val="none"/>
        </w:rPr>
        <w:fldChar w:fldCharType="separate"/>
      </w:r>
      <w:r>
        <w:rPr>
          <w:rFonts w:hint="eastAsia" w:ascii="宋体" w:hAnsi="宋体" w:cs="宋体"/>
          <w:bCs/>
          <w:color w:val="auto"/>
          <w:sz w:val="24"/>
          <w:szCs w:val="36"/>
          <w:highlight w:val="none"/>
        </w:rPr>
        <w:t>第二部分  比选</w:t>
      </w:r>
      <w:r>
        <w:rPr>
          <w:rFonts w:hint="eastAsia" w:ascii="宋体" w:hAnsi="宋体" w:cs="宋体"/>
          <w:bCs/>
          <w:color w:val="auto"/>
          <w:sz w:val="24"/>
          <w:szCs w:val="36"/>
          <w:highlight w:val="none"/>
          <w:lang w:eastAsia="zh-CN"/>
        </w:rPr>
        <w:t>申请人</w:t>
      </w:r>
      <w:r>
        <w:rPr>
          <w:rFonts w:hint="eastAsia" w:ascii="宋体" w:hAnsi="宋体" w:cs="宋体"/>
          <w:bCs/>
          <w:color w:val="auto"/>
          <w:sz w:val="24"/>
          <w:szCs w:val="36"/>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_Toc3620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color w:val="auto"/>
          <w:sz w:val="24"/>
          <w:szCs w:val="24"/>
          <w:highlight w:val="none"/>
        </w:rPr>
        <w:fldChar w:fldCharType="end"/>
      </w:r>
    </w:p>
    <w:p>
      <w:pPr>
        <w:pStyle w:val="40"/>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_Toc10840 </w:instrText>
      </w:r>
      <w:r>
        <w:rPr>
          <w:color w:val="auto"/>
          <w:sz w:val="24"/>
          <w:szCs w:val="24"/>
          <w:highlight w:val="none"/>
        </w:rPr>
        <w:fldChar w:fldCharType="separate"/>
      </w:r>
      <w:r>
        <w:rPr>
          <w:rFonts w:hint="eastAsia" w:ascii="宋体" w:hAnsi="宋体" w:cs="宋体"/>
          <w:bCs/>
          <w:color w:val="auto"/>
          <w:sz w:val="24"/>
          <w:szCs w:val="36"/>
          <w:highlight w:val="none"/>
        </w:rPr>
        <w:t>第三部分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_Toc10840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color w:val="auto"/>
          <w:sz w:val="24"/>
          <w:szCs w:val="24"/>
          <w:highlight w:val="none"/>
        </w:rPr>
        <w:fldChar w:fldCharType="end"/>
      </w:r>
    </w:p>
    <w:p>
      <w:pPr>
        <w:pStyle w:val="40"/>
        <w:keepNext w:val="0"/>
        <w:keepLines w:val="0"/>
        <w:pageBreakBefore w:val="0"/>
        <w:widowControl w:val="0"/>
        <w:tabs>
          <w:tab w:val="right" w:leader="dot" w:pos="9610"/>
        </w:tabs>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_Toc7047 </w:instrText>
      </w:r>
      <w:r>
        <w:rPr>
          <w:color w:val="auto"/>
          <w:sz w:val="24"/>
          <w:szCs w:val="24"/>
          <w:highlight w:val="none"/>
        </w:rPr>
        <w:fldChar w:fldCharType="separate"/>
      </w:r>
      <w:r>
        <w:rPr>
          <w:rFonts w:hint="eastAsia" w:ascii="宋体" w:hAnsi="宋体" w:cs="宋体"/>
          <w:bCs/>
          <w:color w:val="auto"/>
          <w:sz w:val="24"/>
          <w:szCs w:val="36"/>
          <w:highlight w:val="none"/>
          <w:lang w:eastAsia="zh-CN"/>
        </w:rPr>
        <w:t>第四部分</w:t>
      </w:r>
      <w:r>
        <w:rPr>
          <w:rFonts w:hint="eastAsia" w:ascii="宋体" w:hAnsi="宋体" w:cs="宋体"/>
          <w:bCs/>
          <w:color w:val="auto"/>
          <w:sz w:val="24"/>
          <w:szCs w:val="36"/>
          <w:highlight w:val="none"/>
          <w:lang w:val="en-US" w:eastAsia="zh-CN"/>
        </w:rPr>
        <w:t xml:space="preserve">  </w:t>
      </w:r>
      <w:r>
        <w:rPr>
          <w:rFonts w:hint="eastAsia" w:ascii="宋体" w:hAnsi="宋体" w:cs="宋体"/>
          <w:bCs/>
          <w:color w:val="auto"/>
          <w:sz w:val="24"/>
          <w:szCs w:val="36"/>
          <w:highlight w:val="none"/>
          <w:lang w:eastAsia="zh-CN"/>
        </w:rPr>
        <w:t>响应文件</w:t>
      </w:r>
      <w:r>
        <w:rPr>
          <w:rFonts w:hint="eastAsia" w:ascii="宋体" w:hAnsi="宋体" w:cs="宋体"/>
          <w:bCs/>
          <w:color w:val="auto"/>
          <w:sz w:val="24"/>
          <w:szCs w:val="36"/>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_Toc7047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pPr>
        <w:pStyle w:val="41"/>
        <w:tabs>
          <w:tab w:val="right" w:leader="dot" w:pos="9610"/>
        </w:tabs>
        <w:rPr>
          <w:color w:val="auto"/>
          <w:highlight w:val="none"/>
        </w:rPr>
      </w:pPr>
    </w:p>
    <w:p>
      <w:pPr>
        <w:tabs>
          <w:tab w:val="right" w:leader="dot" w:pos="9610"/>
        </w:tabs>
        <w:spacing w:line="360" w:lineRule="auto"/>
        <w:jc w:val="center"/>
        <w:rPr>
          <w:color w:val="auto"/>
          <w:highlight w:val="none"/>
        </w:rPr>
      </w:pPr>
      <w:r>
        <w:rPr>
          <w:color w:val="auto"/>
          <w:highlight w:val="none"/>
        </w:rPr>
        <w:fldChar w:fldCharType="end"/>
      </w: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pPr>
    </w:p>
    <w:p>
      <w:pPr>
        <w:spacing w:line="360" w:lineRule="auto"/>
        <w:jc w:val="center"/>
        <w:outlineLvl w:val="0"/>
        <w:rPr>
          <w:rFonts w:ascii="宋体"/>
          <w:b/>
          <w:bCs/>
          <w:color w:val="auto"/>
          <w:sz w:val="28"/>
          <w:szCs w:val="28"/>
          <w:highlight w:val="none"/>
        </w:rPr>
        <w:sectPr>
          <w:headerReference r:id="rId4" w:type="first"/>
          <w:headerReference r:id="rId3" w:type="default"/>
          <w:footerReference r:id="rId5" w:type="default"/>
          <w:pgSz w:w="11906" w:h="16838"/>
          <w:pgMar w:top="1276" w:right="1162" w:bottom="1135" w:left="1134" w:header="851" w:footer="992" w:gutter="0"/>
          <w:pgNumType w:fmt="decimal" w:start="1"/>
          <w:cols w:space="720" w:num="1"/>
          <w:docGrid w:type="lines" w:linePitch="312" w:charSpace="0"/>
        </w:sectPr>
      </w:pPr>
    </w:p>
    <w:p>
      <w:pPr>
        <w:numPr>
          <w:ilvl w:val="0"/>
          <w:numId w:val="1"/>
        </w:numPr>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 xml:space="preserve">  </w:t>
      </w:r>
      <w:bookmarkStart w:id="0" w:name="_Toc12596"/>
      <w:r>
        <w:rPr>
          <w:rFonts w:hint="eastAsia" w:ascii="宋体" w:hAnsi="宋体" w:cs="宋体"/>
          <w:b/>
          <w:bCs/>
          <w:color w:val="auto"/>
          <w:sz w:val="28"/>
          <w:szCs w:val="28"/>
          <w:highlight w:val="none"/>
          <w:lang w:eastAsia="zh-CN"/>
        </w:rPr>
        <w:t>竞争性</w:t>
      </w:r>
      <w:r>
        <w:rPr>
          <w:rFonts w:hint="eastAsia" w:ascii="宋体" w:hAnsi="宋体" w:cs="宋体"/>
          <w:b/>
          <w:bCs/>
          <w:color w:val="auto"/>
          <w:sz w:val="28"/>
          <w:szCs w:val="28"/>
          <w:highlight w:val="none"/>
        </w:rPr>
        <w:t>比选公告</w:t>
      </w:r>
      <w:bookmarkEnd w:id="0"/>
    </w:p>
    <w:p>
      <w:pPr>
        <w:pStyle w:val="34"/>
        <w:jc w:val="center"/>
        <w:rPr>
          <w:rFonts w:hint="eastAsia" w:ascii="宋体" w:hAnsi="宋体" w:cs="宋体"/>
          <w:b/>
          <w:bCs/>
          <w:color w:val="auto"/>
          <w:sz w:val="28"/>
          <w:szCs w:val="28"/>
          <w:highlight w:val="none"/>
          <w:lang w:eastAsia="zh-CN"/>
        </w:rPr>
      </w:pPr>
      <w:bookmarkStart w:id="105" w:name="_GoBack"/>
      <w:r>
        <w:rPr>
          <w:rFonts w:hint="eastAsia" w:ascii="宋体" w:hAnsi="宋体" w:cs="宋体"/>
          <w:b/>
          <w:bCs/>
          <w:color w:val="auto"/>
          <w:sz w:val="28"/>
          <w:szCs w:val="28"/>
          <w:highlight w:val="none"/>
          <w:lang w:eastAsia="zh-CN"/>
        </w:rPr>
        <w:t>重咨集团2025年办公家具类采购（第三次）</w:t>
      </w:r>
    </w:p>
    <w:p>
      <w:pPr>
        <w:pStyle w:val="34"/>
        <w:jc w:val="center"/>
        <w:rPr>
          <w:rFonts w:hint="eastAsia" w:eastAsia="宋体"/>
          <w:color w:val="auto"/>
          <w:sz w:val="28"/>
          <w:szCs w:val="28"/>
          <w:highlight w:val="none"/>
          <w:lang w:eastAsia="zh-CN"/>
        </w:rPr>
      </w:pPr>
      <w:r>
        <w:rPr>
          <w:rFonts w:hint="eastAsia" w:ascii="宋体" w:hAnsi="宋体" w:cs="宋体"/>
          <w:b/>
          <w:bCs/>
          <w:color w:val="auto"/>
          <w:sz w:val="28"/>
          <w:szCs w:val="28"/>
          <w:highlight w:val="none"/>
          <w:lang w:eastAsia="zh-CN"/>
        </w:rPr>
        <w:t>竞争性比选公告</w:t>
      </w:r>
    </w:p>
    <w:p>
      <w:pPr>
        <w:pStyle w:val="6"/>
        <w:adjustRightInd/>
        <w:snapToGrid/>
        <w:spacing w:beforeLines="0" w:afterLines="0" w:line="400" w:lineRule="exact"/>
        <w:ind w:firstLine="420" w:firstLineChars="200"/>
        <w:rPr>
          <w:rFonts w:ascii="宋体"/>
          <w:color w:val="auto"/>
          <w:sz w:val="24"/>
          <w:szCs w:val="24"/>
          <w:highlight w:val="none"/>
          <w:u w:val="single"/>
        </w:rPr>
      </w:pPr>
      <w:bookmarkStart w:id="1" w:name="_Toc21874"/>
      <w:bookmarkStart w:id="2" w:name="_Toc21929"/>
      <w:r>
        <w:rPr>
          <w:rFonts w:hint="eastAsia" w:ascii="宋体" w:hAnsi="宋体" w:cs="宋体"/>
          <w:b w:val="0"/>
          <w:color w:val="auto"/>
          <w:sz w:val="21"/>
          <w:szCs w:val="21"/>
          <w:highlight w:val="none"/>
        </w:rPr>
        <w:t>为规范比选行为，本着公开、公平、公正的原则，我司拟对</w:t>
      </w:r>
      <w:r>
        <w:rPr>
          <w:rFonts w:hint="eastAsia" w:ascii="宋体" w:hAnsi="宋体" w:cs="宋体"/>
          <w:b w:val="0"/>
          <w:color w:val="auto"/>
          <w:sz w:val="21"/>
          <w:szCs w:val="21"/>
          <w:highlight w:val="none"/>
          <w:u w:val="single"/>
          <w:lang w:eastAsia="zh-CN"/>
        </w:rPr>
        <w:t>重咨集团2025年办公家具类采购（第三次）</w:t>
      </w:r>
      <w:r>
        <w:rPr>
          <w:rFonts w:hint="eastAsia" w:ascii="宋体" w:hAnsi="宋体" w:cs="宋体"/>
          <w:b w:val="0"/>
          <w:color w:val="auto"/>
          <w:sz w:val="21"/>
          <w:szCs w:val="21"/>
          <w:highlight w:val="none"/>
        </w:rPr>
        <w:t>竞选，资金来源：</w:t>
      </w:r>
      <w:r>
        <w:rPr>
          <w:rFonts w:hint="eastAsia" w:ascii="宋体" w:hAnsi="宋体" w:cs="宋体"/>
          <w:b w:val="0"/>
          <w:color w:val="auto"/>
          <w:sz w:val="21"/>
          <w:szCs w:val="21"/>
          <w:highlight w:val="none"/>
          <w:u w:val="single"/>
          <w:lang w:eastAsia="zh-CN"/>
        </w:rPr>
        <w:t>自有资金</w:t>
      </w:r>
      <w:r>
        <w:rPr>
          <w:rFonts w:hint="eastAsia" w:ascii="宋体" w:hAnsi="宋体" w:cs="宋体"/>
          <w:b w:val="0"/>
          <w:color w:val="auto"/>
          <w:sz w:val="21"/>
          <w:szCs w:val="21"/>
          <w:highlight w:val="none"/>
        </w:rPr>
        <w:t>，资金落实情况：</w:t>
      </w:r>
      <w:r>
        <w:rPr>
          <w:rFonts w:hint="eastAsia" w:ascii="宋体" w:hAnsi="宋体" w:cs="宋体"/>
          <w:b w:val="0"/>
          <w:color w:val="auto"/>
          <w:sz w:val="21"/>
          <w:szCs w:val="21"/>
          <w:highlight w:val="none"/>
          <w:u w:val="single"/>
        </w:rPr>
        <w:t>已落实</w:t>
      </w:r>
      <w:r>
        <w:rPr>
          <w:rFonts w:hint="eastAsia" w:ascii="宋体" w:hAnsi="宋体" w:cs="宋体"/>
          <w:b w:val="0"/>
          <w:color w:val="auto"/>
          <w:sz w:val="21"/>
          <w:szCs w:val="21"/>
          <w:highlight w:val="none"/>
        </w:rPr>
        <w:t>，将采用</w:t>
      </w:r>
      <w:r>
        <w:rPr>
          <w:rFonts w:hint="eastAsia" w:ascii="宋体" w:hAnsi="宋体" w:cs="宋体"/>
          <w:b w:val="0"/>
          <w:color w:val="auto"/>
          <w:sz w:val="21"/>
          <w:szCs w:val="21"/>
          <w:highlight w:val="none"/>
          <w:u w:val="single"/>
        </w:rPr>
        <w:t>竞争性比选（公开）</w:t>
      </w:r>
      <w:r>
        <w:rPr>
          <w:rFonts w:hint="eastAsia" w:ascii="宋体" w:hAnsi="宋体" w:cs="宋体"/>
          <w:b w:val="0"/>
          <w:color w:val="auto"/>
          <w:sz w:val="21"/>
          <w:szCs w:val="21"/>
          <w:highlight w:val="none"/>
        </w:rPr>
        <w:t>的方式择优选定承包单位。特邀请有兴趣且符合条件的潜在比选申请人参与竞选。</w:t>
      </w:r>
      <w:bookmarkEnd w:id="1"/>
      <w:bookmarkEnd w:id="2"/>
    </w:p>
    <w:p>
      <w:pPr>
        <w:pStyle w:val="6"/>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1、项目概况及比选范围</w:t>
      </w:r>
    </w:p>
    <w:p>
      <w:pPr>
        <w:pStyle w:val="6"/>
        <w:adjustRightInd/>
        <w:snapToGrid/>
        <w:spacing w:beforeLines="0" w:afterLines="0" w:line="400" w:lineRule="exact"/>
        <w:ind w:firstLine="420" w:firstLineChars="200"/>
        <w:rPr>
          <w:rFonts w:hint="eastAsia"/>
          <w:highlight w:val="none"/>
          <w:lang w:val="en-US" w:eastAsia="zh-CN"/>
        </w:rPr>
      </w:pPr>
      <w:r>
        <w:rPr>
          <w:rFonts w:hint="eastAsia" w:ascii="宋体" w:hAnsi="宋体" w:eastAsia="宋体" w:cs="宋体"/>
          <w:b w:val="0"/>
          <w:color w:val="auto"/>
          <w:sz w:val="21"/>
          <w:szCs w:val="21"/>
          <w:highlight w:val="none"/>
          <w:lang w:val="en-US" w:eastAsia="zh-CN"/>
        </w:rPr>
        <w:t>1.1比选范围：大楼集中购置一批办公家具，主要包括：大中型会议厅使用的会议桌椅，以及各部门办公室使用的办公桌椅等的供货（制造，含备品、备件、专用工器具等）、装配（指出厂前组装、测试和检测、检验、现场整体组装（如有））、包装、运输和保险、装卸、安全保证、安装、调试、验收，质量保证期内的维修、维护、保养、人员培训（如有）以及其它相关伴随服务等工作内容，相关品的名称、预计采购数量</w:t>
      </w:r>
      <w:r>
        <w:rPr>
          <w:rFonts w:hint="eastAsia" w:ascii="宋体" w:hAnsi="宋体" w:cs="宋体"/>
          <w:b w:val="0"/>
          <w:color w:val="auto"/>
          <w:sz w:val="21"/>
          <w:szCs w:val="21"/>
          <w:highlight w:val="none"/>
          <w:lang w:val="en-US" w:eastAsia="zh-CN"/>
        </w:rPr>
        <w:t>（最高采购数量）</w:t>
      </w:r>
      <w:r>
        <w:rPr>
          <w:rFonts w:hint="eastAsia" w:ascii="宋体" w:hAnsi="宋体" w:eastAsia="宋体" w:cs="宋体"/>
          <w:b w:val="0"/>
          <w:color w:val="auto"/>
          <w:sz w:val="21"/>
          <w:szCs w:val="21"/>
          <w:highlight w:val="none"/>
          <w:lang w:val="en-US" w:eastAsia="zh-CN"/>
        </w:rPr>
        <w:t>、技术规格详见</w:t>
      </w:r>
      <w:r>
        <w:rPr>
          <w:rFonts w:hint="eastAsia" w:ascii="宋体" w:hAnsi="宋体" w:cs="宋体"/>
          <w:b w:val="0"/>
          <w:color w:val="auto"/>
          <w:sz w:val="21"/>
          <w:szCs w:val="21"/>
          <w:highlight w:val="none"/>
          <w:lang w:val="en-US" w:eastAsia="zh-CN"/>
        </w:rPr>
        <w:t>《附件：办公家具类采购清单》（第三次）</w:t>
      </w:r>
      <w:r>
        <w:rPr>
          <w:rFonts w:hint="eastAsia" w:ascii="宋体" w:hAnsi="宋体" w:eastAsia="宋体" w:cs="宋体"/>
          <w:b w:val="0"/>
          <w:color w:val="auto"/>
          <w:sz w:val="21"/>
          <w:szCs w:val="21"/>
          <w:highlight w:val="none"/>
        </w:rPr>
        <w:t>。</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1.1.1项目</w:t>
      </w:r>
      <w:r>
        <w:rPr>
          <w:rFonts w:hint="eastAsia" w:ascii="宋体" w:hAnsi="宋体" w:eastAsia="宋体" w:cs="宋体"/>
          <w:b w:val="0"/>
          <w:color w:val="auto"/>
          <w:sz w:val="21"/>
          <w:szCs w:val="21"/>
          <w:highlight w:val="none"/>
          <w:lang w:val="en-US" w:eastAsia="zh-CN"/>
        </w:rPr>
        <w:t>估算金额约</w:t>
      </w:r>
      <w:r>
        <w:rPr>
          <w:rFonts w:hint="eastAsia" w:ascii="宋体" w:hAnsi="宋体" w:cs="宋体"/>
          <w:b w:val="0"/>
          <w:color w:val="auto"/>
          <w:sz w:val="21"/>
          <w:szCs w:val="21"/>
          <w:highlight w:val="none"/>
          <w:lang w:val="en-US" w:eastAsia="zh-CN"/>
        </w:rPr>
        <w:t>35</w:t>
      </w:r>
      <w:r>
        <w:rPr>
          <w:rFonts w:hint="eastAsia" w:ascii="宋体" w:hAnsi="宋体" w:eastAsia="宋体" w:cs="宋体"/>
          <w:b w:val="0"/>
          <w:color w:val="auto"/>
          <w:sz w:val="21"/>
          <w:szCs w:val="21"/>
          <w:highlight w:val="none"/>
          <w:lang w:val="en-US" w:eastAsia="zh-CN"/>
        </w:rPr>
        <w:t>万元</w:t>
      </w:r>
      <w:r>
        <w:rPr>
          <w:rFonts w:hint="eastAsia" w:ascii="宋体" w:hAnsi="宋体" w:cs="宋体"/>
          <w:b w:val="0"/>
          <w:color w:val="auto"/>
          <w:sz w:val="21"/>
          <w:szCs w:val="21"/>
          <w:highlight w:val="none"/>
          <w:lang w:val="en-US" w:eastAsia="zh-CN"/>
        </w:rPr>
        <w:t>，</w:t>
      </w:r>
      <w:r>
        <w:rPr>
          <w:rFonts w:hint="eastAsia" w:ascii="宋体" w:hAnsi="宋体" w:eastAsia="宋体" w:cs="宋体"/>
          <w:b w:val="0"/>
          <w:color w:val="auto"/>
          <w:sz w:val="21"/>
          <w:szCs w:val="21"/>
          <w:highlight w:val="none"/>
          <w:lang w:val="en-US" w:eastAsia="zh-CN"/>
        </w:rPr>
        <w:t>相关品的名称、预计采购数量</w:t>
      </w:r>
      <w:r>
        <w:rPr>
          <w:rFonts w:hint="eastAsia" w:ascii="宋体" w:hAnsi="宋体" w:cs="宋体"/>
          <w:b w:val="0"/>
          <w:color w:val="auto"/>
          <w:sz w:val="21"/>
          <w:szCs w:val="21"/>
          <w:highlight w:val="none"/>
          <w:lang w:val="en-US" w:eastAsia="zh-CN"/>
        </w:rPr>
        <w:t>（最高采购数量）</w:t>
      </w:r>
      <w:r>
        <w:rPr>
          <w:rFonts w:hint="eastAsia" w:ascii="宋体" w:hAnsi="宋体" w:eastAsia="宋体" w:cs="宋体"/>
          <w:b w:val="0"/>
          <w:color w:val="auto"/>
          <w:sz w:val="21"/>
          <w:szCs w:val="21"/>
          <w:highlight w:val="none"/>
          <w:lang w:val="en-US" w:eastAsia="zh-CN"/>
        </w:rPr>
        <w:t>、技术规格详见</w:t>
      </w:r>
      <w:r>
        <w:rPr>
          <w:rFonts w:hint="eastAsia" w:ascii="宋体" w:hAnsi="宋体" w:cs="宋体"/>
          <w:b w:val="0"/>
          <w:color w:val="auto"/>
          <w:sz w:val="21"/>
          <w:szCs w:val="21"/>
          <w:highlight w:val="none"/>
          <w:lang w:val="en-US" w:eastAsia="zh-CN"/>
        </w:rPr>
        <w:t>《附件：办公家具类采购清单》（第三次），最终以实际采购数量据实结算</w:t>
      </w:r>
      <w:r>
        <w:rPr>
          <w:rFonts w:hint="eastAsia" w:ascii="宋体" w:hAnsi="宋体" w:eastAsia="宋体" w:cs="宋体"/>
          <w:b w:val="0"/>
          <w:color w:val="auto"/>
          <w:sz w:val="21"/>
          <w:szCs w:val="21"/>
          <w:highlight w:val="none"/>
          <w:lang w:val="en-US" w:eastAsia="zh-CN"/>
        </w:rPr>
        <w:t>。</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1.2</w:t>
      </w:r>
      <w:r>
        <w:rPr>
          <w:rFonts w:hint="eastAsia" w:ascii="宋体" w:hAnsi="宋体" w:cs="宋体"/>
          <w:b w:val="0"/>
          <w:color w:val="auto"/>
          <w:sz w:val="21"/>
          <w:szCs w:val="21"/>
          <w:highlight w:val="none"/>
          <w:lang w:val="en-US" w:eastAsia="zh-CN"/>
        </w:rPr>
        <w:t>交货地点</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比选人指定地点</w:t>
      </w:r>
      <w:r>
        <w:rPr>
          <w:rFonts w:hint="eastAsia" w:ascii="宋体" w:hAnsi="宋体" w:eastAsia="宋体" w:cs="宋体"/>
          <w:b w:val="0"/>
          <w:color w:val="auto"/>
          <w:sz w:val="21"/>
          <w:szCs w:val="21"/>
          <w:highlight w:val="none"/>
          <w:lang w:val="en-US" w:eastAsia="zh-CN"/>
        </w:rPr>
        <w:t>。</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1.3交</w:t>
      </w:r>
      <w:r>
        <w:rPr>
          <w:rFonts w:hint="eastAsia" w:ascii="宋体" w:hAnsi="宋体" w:cs="宋体"/>
          <w:b w:val="0"/>
          <w:color w:val="auto"/>
          <w:sz w:val="21"/>
          <w:szCs w:val="21"/>
          <w:highlight w:val="none"/>
          <w:lang w:val="en-US" w:eastAsia="zh-CN"/>
        </w:rPr>
        <w:t>货</w:t>
      </w:r>
      <w:r>
        <w:rPr>
          <w:rFonts w:hint="eastAsia" w:ascii="宋体" w:hAnsi="宋体" w:eastAsia="宋体" w:cs="宋体"/>
          <w:b w:val="0"/>
          <w:color w:val="auto"/>
          <w:sz w:val="21"/>
          <w:szCs w:val="21"/>
          <w:highlight w:val="none"/>
          <w:lang w:val="en-US" w:eastAsia="zh-CN"/>
        </w:rPr>
        <w:t>期：合同签订后</w:t>
      </w:r>
      <w:r>
        <w:rPr>
          <w:rFonts w:hint="eastAsia" w:ascii="宋体" w:hAnsi="宋体" w:cs="宋体"/>
          <w:b w:val="0"/>
          <w:color w:val="auto"/>
          <w:sz w:val="21"/>
          <w:szCs w:val="21"/>
          <w:highlight w:val="none"/>
          <w:lang w:val="en-US" w:eastAsia="zh-CN"/>
        </w:rPr>
        <w:t>25</w:t>
      </w:r>
      <w:r>
        <w:rPr>
          <w:rFonts w:hint="eastAsia" w:ascii="宋体" w:hAnsi="宋体" w:eastAsia="宋体" w:cs="宋体"/>
          <w:b w:val="0"/>
          <w:color w:val="auto"/>
          <w:sz w:val="21"/>
          <w:szCs w:val="21"/>
          <w:highlight w:val="none"/>
          <w:lang w:val="en-US" w:eastAsia="zh-CN"/>
        </w:rPr>
        <w:t>日内交付</w:t>
      </w:r>
      <w:r>
        <w:rPr>
          <w:rFonts w:hint="eastAsia" w:ascii="宋体" w:hAnsi="宋体" w:eastAsia="宋体" w:cs="宋体"/>
          <w:b w:val="0"/>
          <w:color w:val="auto"/>
          <w:sz w:val="21"/>
          <w:szCs w:val="21"/>
          <w:highlight w:val="none"/>
          <w:lang w:eastAsia="zh-CN"/>
        </w:rPr>
        <w:t>。</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1.4质保期：不少于1年。</w:t>
      </w:r>
    </w:p>
    <w:p>
      <w:pPr>
        <w:pStyle w:val="6"/>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2、比选申请人资格要求</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2.1本次比选要求比选申请人须具备以下资格条件：</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2.1.1</w:t>
      </w:r>
      <w:r>
        <w:rPr>
          <w:rFonts w:hint="eastAsia" w:ascii="宋体" w:hAnsi="宋体" w:cs="宋体"/>
          <w:b w:val="0"/>
          <w:color w:val="auto"/>
          <w:sz w:val="21"/>
          <w:szCs w:val="21"/>
          <w:highlight w:val="none"/>
          <w:lang w:val="en-US" w:eastAsia="zh-CN"/>
        </w:rPr>
        <w:t>具有有效的营业执照</w:t>
      </w:r>
      <w:r>
        <w:rPr>
          <w:rFonts w:hint="eastAsia" w:ascii="宋体" w:hAnsi="宋体" w:eastAsia="宋体" w:cs="宋体"/>
          <w:b w:val="0"/>
          <w:color w:val="auto"/>
          <w:sz w:val="21"/>
          <w:szCs w:val="21"/>
          <w:highlight w:val="none"/>
          <w:lang w:val="en-US" w:eastAsia="zh-CN"/>
        </w:rPr>
        <w:t>；</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2.1.2具体资格要求详见比选文件第二部分比选申请人须知“三、比选申请人资格条件要求”。</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2.2本次比选不接受联合体，也不允许转包及分包，不允许挂靠。</w:t>
      </w:r>
    </w:p>
    <w:p>
      <w:pPr>
        <w:pStyle w:val="6"/>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3、比选文件的获取</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3.1凡有意参加竞选者，请于2025年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24</w:t>
      </w:r>
      <w:r>
        <w:rPr>
          <w:rFonts w:hint="eastAsia" w:ascii="宋体" w:hAnsi="宋体" w:eastAsia="宋体" w:cs="宋体"/>
          <w:b w:val="0"/>
          <w:color w:val="auto"/>
          <w:sz w:val="21"/>
          <w:szCs w:val="21"/>
          <w:highlight w:val="none"/>
          <w:lang w:val="en-US" w:eastAsia="zh-CN"/>
        </w:rPr>
        <w:t>日（北京时间，下同）起在《重庆国际投资咨询集团有限公司网站（www.cqiic.com）》或《咨采平台（http://www.zicaipingtai.com）》下载比选文件、澄清、修改、补充通知等全部内容。不管下载与否都视为潜在比选申请人全部知晓有关比选全部内容。</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3.2比选申请人可向代理机构提交书面质疑，提问时间从本公告发布至2025年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26</w:t>
      </w:r>
      <w:r>
        <w:rPr>
          <w:rFonts w:hint="eastAsia" w:ascii="宋体" w:hAnsi="宋体" w:eastAsia="宋体" w:cs="宋体"/>
          <w:b w:val="0"/>
          <w:color w:val="auto"/>
          <w:sz w:val="21"/>
          <w:szCs w:val="21"/>
          <w:highlight w:val="none"/>
          <w:lang w:val="en-US" w:eastAsia="zh-CN"/>
        </w:rPr>
        <w:t>日17时00分（北京时间）前。</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3.3比选人应于2025年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27</w:t>
      </w:r>
      <w:r>
        <w:rPr>
          <w:rFonts w:hint="eastAsia" w:ascii="宋体" w:hAnsi="宋体" w:eastAsia="宋体" w:cs="宋体"/>
          <w:b w:val="0"/>
          <w:color w:val="auto"/>
          <w:sz w:val="21"/>
          <w:szCs w:val="21"/>
          <w:highlight w:val="none"/>
          <w:lang w:val="en-US" w:eastAsia="zh-CN"/>
        </w:rPr>
        <w:t>日18时00分（北京时间）前在《重庆国际投资咨询集团有限公司网站（www.cqiic.com）》或《咨采平台（http://www.zicaipingtai.com）》发布澄清或修改（如有）。</w:t>
      </w:r>
    </w:p>
    <w:p>
      <w:pPr>
        <w:pStyle w:val="6"/>
        <w:adjustRightInd/>
        <w:snapToGrid/>
        <w:spacing w:beforeLines="0" w:afterLines="0" w:line="400" w:lineRule="exact"/>
        <w:rPr>
          <w:rFonts w:hint="eastAsia" w:ascii="宋体" w:hAnsi="宋体" w:eastAsia="宋体" w:cs="宋体"/>
          <w:b/>
          <w:bCs/>
          <w:color w:val="auto"/>
          <w:sz w:val="21"/>
          <w:szCs w:val="21"/>
          <w:highlight w:val="none"/>
          <w:lang w:val="en-US" w:eastAsia="zh-CN"/>
        </w:rPr>
      </w:pPr>
      <w:bookmarkStart w:id="3" w:name="_Toc4417"/>
      <w:bookmarkStart w:id="4" w:name="_Toc20157"/>
      <w:bookmarkStart w:id="5" w:name="_Toc23674"/>
      <w:r>
        <w:rPr>
          <w:rFonts w:hint="eastAsia" w:ascii="宋体" w:hAnsi="宋体" w:eastAsia="宋体" w:cs="宋体"/>
          <w:b/>
          <w:bCs/>
          <w:color w:val="auto"/>
          <w:sz w:val="21"/>
          <w:szCs w:val="21"/>
          <w:highlight w:val="none"/>
          <w:lang w:val="en-US" w:eastAsia="zh-CN"/>
        </w:rPr>
        <w:t>4、响应文件的递交</w:t>
      </w:r>
      <w:bookmarkEnd w:id="3"/>
      <w:bookmarkEnd w:id="4"/>
      <w:bookmarkEnd w:id="5"/>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6" w:name="_Toc11968"/>
      <w:bookmarkStart w:id="7" w:name="_Toc6570"/>
      <w:bookmarkStart w:id="8" w:name="_Toc5041"/>
      <w:r>
        <w:rPr>
          <w:rFonts w:hint="eastAsia" w:ascii="宋体" w:hAnsi="宋体" w:eastAsia="宋体" w:cs="宋体"/>
          <w:b w:val="0"/>
          <w:color w:val="auto"/>
          <w:sz w:val="21"/>
          <w:szCs w:val="21"/>
          <w:highlight w:val="none"/>
          <w:lang w:val="en-US" w:eastAsia="zh-CN"/>
        </w:rPr>
        <w:t>4.1响应文件递交的起止时间（比选截止时间，下同）：2025年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30</w:t>
      </w:r>
      <w:r>
        <w:rPr>
          <w:rFonts w:hint="eastAsia" w:ascii="宋体" w:hAnsi="宋体" w:eastAsia="宋体" w:cs="宋体"/>
          <w:b w:val="0"/>
          <w:color w:val="auto"/>
          <w:sz w:val="21"/>
          <w:szCs w:val="21"/>
          <w:highlight w:val="none"/>
          <w:lang w:val="en-US" w:eastAsia="zh-CN"/>
        </w:rPr>
        <w:t>日</w:t>
      </w:r>
      <w:r>
        <w:rPr>
          <w:rFonts w:hint="eastAsia" w:ascii="宋体" w:hAnsi="宋体" w:cs="宋体"/>
          <w:b w:val="0"/>
          <w:color w:val="auto"/>
          <w:sz w:val="21"/>
          <w:szCs w:val="21"/>
          <w:highlight w:val="none"/>
          <w:lang w:val="en-US" w:eastAsia="zh-CN"/>
        </w:rPr>
        <w:t>13</w:t>
      </w:r>
      <w:r>
        <w:rPr>
          <w:rFonts w:hint="eastAsia" w:ascii="宋体" w:hAnsi="宋体" w:eastAsia="宋体" w:cs="宋体"/>
          <w:b w:val="0"/>
          <w:color w:val="auto"/>
          <w:sz w:val="21"/>
          <w:szCs w:val="21"/>
          <w:highlight w:val="none"/>
          <w:lang w:val="en-US" w:eastAsia="zh-CN"/>
        </w:rPr>
        <w:t>时30分至2025年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30</w:t>
      </w:r>
      <w:r>
        <w:rPr>
          <w:rFonts w:hint="eastAsia" w:ascii="宋体" w:hAnsi="宋体" w:eastAsia="宋体" w:cs="宋体"/>
          <w:b w:val="0"/>
          <w:color w:val="auto"/>
          <w:sz w:val="21"/>
          <w:szCs w:val="21"/>
          <w:highlight w:val="none"/>
          <w:lang w:val="en-US" w:eastAsia="zh-CN"/>
        </w:rPr>
        <w:t>日1</w:t>
      </w: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val="en-US" w:eastAsia="zh-CN"/>
        </w:rPr>
        <w:t>时00分。</w:t>
      </w:r>
      <w:bookmarkEnd w:id="6"/>
      <w:bookmarkEnd w:id="7"/>
      <w:bookmarkEnd w:id="8"/>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9" w:name="_Toc12603"/>
      <w:bookmarkStart w:id="10" w:name="_Toc21891"/>
      <w:bookmarkStart w:id="11" w:name="_Toc4520"/>
      <w:r>
        <w:rPr>
          <w:rFonts w:hint="eastAsia" w:ascii="宋体" w:hAnsi="宋体" w:eastAsia="宋体" w:cs="宋体"/>
          <w:b w:val="0"/>
          <w:color w:val="auto"/>
          <w:sz w:val="21"/>
          <w:szCs w:val="21"/>
          <w:highlight w:val="none"/>
          <w:lang w:val="en-US" w:eastAsia="zh-CN"/>
        </w:rPr>
        <w:t>4.2比选地点：重庆咨询大厦开标厅，具体详见开标当天重庆市江北区五里店五简路2号重庆咨询大厦A座负一楼指示牌。</w:t>
      </w:r>
      <w:bookmarkEnd w:id="9"/>
      <w:bookmarkEnd w:id="10"/>
      <w:bookmarkEnd w:id="11"/>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2" w:name="_Toc2893"/>
      <w:bookmarkStart w:id="13" w:name="_Toc22210"/>
      <w:bookmarkStart w:id="14" w:name="_Toc24041"/>
      <w:r>
        <w:rPr>
          <w:rFonts w:hint="eastAsia" w:ascii="宋体" w:hAnsi="宋体" w:eastAsia="宋体" w:cs="宋体"/>
          <w:b w:val="0"/>
          <w:color w:val="auto"/>
          <w:sz w:val="21"/>
          <w:szCs w:val="21"/>
          <w:highlight w:val="none"/>
          <w:lang w:val="en-US" w:eastAsia="zh-CN"/>
        </w:rPr>
        <w:t>4.3比选时间：2025年</w:t>
      </w:r>
      <w:r>
        <w:rPr>
          <w:rFonts w:hint="eastAsia" w:ascii="宋体" w:hAnsi="宋体" w:cs="宋体"/>
          <w:b w:val="0"/>
          <w:color w:val="auto"/>
          <w:sz w:val="21"/>
          <w:szCs w:val="21"/>
          <w:highlight w:val="none"/>
          <w:lang w:val="en-US" w:eastAsia="zh-CN"/>
        </w:rPr>
        <w:t>12</w:t>
      </w:r>
      <w:r>
        <w:rPr>
          <w:rFonts w:hint="eastAsia" w:ascii="宋体" w:hAnsi="宋体" w:eastAsia="宋体" w:cs="宋体"/>
          <w:b w:val="0"/>
          <w:color w:val="auto"/>
          <w:sz w:val="21"/>
          <w:szCs w:val="21"/>
          <w:highlight w:val="none"/>
          <w:lang w:val="en-US" w:eastAsia="zh-CN"/>
        </w:rPr>
        <w:t>月</w:t>
      </w:r>
      <w:r>
        <w:rPr>
          <w:rFonts w:hint="eastAsia" w:ascii="宋体" w:hAnsi="宋体" w:cs="宋体"/>
          <w:b w:val="0"/>
          <w:color w:val="auto"/>
          <w:sz w:val="21"/>
          <w:szCs w:val="21"/>
          <w:highlight w:val="none"/>
          <w:lang w:val="en-US" w:eastAsia="zh-CN"/>
        </w:rPr>
        <w:t>30</w:t>
      </w:r>
      <w:r>
        <w:rPr>
          <w:rFonts w:hint="eastAsia" w:ascii="宋体" w:hAnsi="宋体" w:eastAsia="宋体" w:cs="宋体"/>
          <w:b w:val="0"/>
          <w:color w:val="auto"/>
          <w:sz w:val="21"/>
          <w:szCs w:val="21"/>
          <w:highlight w:val="none"/>
          <w:lang w:val="en-US" w:eastAsia="zh-CN"/>
        </w:rPr>
        <w:t>日1</w:t>
      </w: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lang w:val="en-US" w:eastAsia="zh-CN"/>
        </w:rPr>
        <w:t>时00分（北京时间）。</w:t>
      </w:r>
      <w:bookmarkEnd w:id="12"/>
      <w:bookmarkEnd w:id="13"/>
      <w:bookmarkEnd w:id="14"/>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bookmarkStart w:id="15" w:name="_Toc21675"/>
      <w:bookmarkStart w:id="16" w:name="_Toc30134"/>
      <w:bookmarkStart w:id="17" w:name="_Toc8022"/>
      <w:r>
        <w:rPr>
          <w:rFonts w:hint="eastAsia" w:ascii="宋体" w:hAnsi="宋体" w:eastAsia="宋体" w:cs="宋体"/>
          <w:b w:val="0"/>
          <w:color w:val="auto"/>
          <w:sz w:val="21"/>
          <w:szCs w:val="21"/>
          <w:highlight w:val="none"/>
          <w:lang w:val="en-US" w:eastAsia="zh-CN"/>
        </w:rPr>
        <w:t>4.4逾期送达，或未送达指定地点，或未密封的响应文件，比选人不予受理。</w:t>
      </w:r>
      <w:bookmarkEnd w:id="15"/>
      <w:bookmarkEnd w:id="16"/>
      <w:bookmarkEnd w:id="17"/>
    </w:p>
    <w:p>
      <w:pPr>
        <w:pStyle w:val="6"/>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5、发布公告的媒介</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本次比选公告同时在《中国招标投标公共服务平台（http://www.cebpubservice.com）》、《重庆国际投资咨询集团有限公司网站（www.cqiic.com）》和《咨采平台（http://www.zicaipingtai.com）》上发布。</w:t>
      </w:r>
    </w:p>
    <w:p>
      <w:pPr>
        <w:pStyle w:val="6"/>
        <w:adjustRightInd/>
        <w:snapToGrid/>
        <w:spacing w:beforeLines="0" w:afterLines="0" w:line="40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6、联系方式</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比选人：重庆国际投资咨询集团有限公司</w:t>
      </w:r>
    </w:p>
    <w:p>
      <w:pPr>
        <w:pStyle w:val="6"/>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 xml:space="preserve">地  址：重庆市江北区五简路2号重咨大厦A座 </w:t>
      </w:r>
    </w:p>
    <w:p>
      <w:pPr>
        <w:pStyle w:val="6"/>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联系人：</w:t>
      </w:r>
      <w:r>
        <w:rPr>
          <w:rFonts w:hint="eastAsia" w:ascii="宋体" w:hAnsi="宋体" w:cs="宋体"/>
          <w:b w:val="0"/>
          <w:color w:val="auto"/>
          <w:sz w:val="21"/>
          <w:szCs w:val="21"/>
          <w:highlight w:val="none"/>
          <w:lang w:val="en-US" w:eastAsia="zh-CN"/>
        </w:rPr>
        <w:t>夏老师</w:t>
      </w:r>
    </w:p>
    <w:p>
      <w:pPr>
        <w:pStyle w:val="6"/>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电  话：</w:t>
      </w:r>
      <w:r>
        <w:rPr>
          <w:rFonts w:hint="eastAsia" w:ascii="宋体" w:hAnsi="宋体" w:cs="宋体"/>
          <w:b w:val="0"/>
          <w:color w:val="auto"/>
          <w:sz w:val="21"/>
          <w:szCs w:val="21"/>
          <w:highlight w:val="none"/>
          <w:lang w:val="en-US" w:eastAsia="zh-CN"/>
        </w:rPr>
        <w:t>023-67631852</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代理机构：重庆招标采购（集团）有限责任公司</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地址：重庆市江北区五简路2号重咨大厦A座904室</w:t>
      </w:r>
    </w:p>
    <w:p>
      <w:pPr>
        <w:pStyle w:val="6"/>
        <w:adjustRightInd/>
        <w:snapToGrid/>
        <w:spacing w:beforeLines="0" w:afterLines="0" w:line="400" w:lineRule="exact"/>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联系人：王老师</w:t>
      </w:r>
    </w:p>
    <w:p>
      <w:pPr>
        <w:pStyle w:val="6"/>
        <w:adjustRightInd/>
        <w:snapToGrid/>
        <w:spacing w:beforeLines="0" w:afterLines="0" w:line="400" w:lineRule="exact"/>
        <w:ind w:firstLine="420" w:firstLineChars="200"/>
        <w:rPr>
          <w:rFonts w:hint="default"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电话：023-67100375</w:t>
      </w:r>
    </w:p>
    <w:bookmarkEnd w:id="105"/>
    <w:p>
      <w:pPr>
        <w:spacing w:line="360" w:lineRule="auto"/>
        <w:ind w:firstLine="470" w:firstLineChars="224"/>
        <w:jc w:val="center"/>
        <w:outlineLvl w:val="0"/>
        <w:rPr>
          <w:rFonts w:ascii="宋体"/>
          <w:b/>
          <w:bCs/>
          <w:color w:val="auto"/>
          <w:sz w:val="28"/>
          <w:szCs w:val="28"/>
          <w:highlight w:val="none"/>
        </w:rPr>
      </w:pPr>
      <w:r>
        <w:rPr>
          <w:rFonts w:ascii="宋体"/>
          <w:color w:val="auto"/>
          <w:highlight w:val="none"/>
        </w:rPr>
        <w:br w:type="page"/>
      </w:r>
      <w:bookmarkStart w:id="18" w:name="_Toc3620"/>
      <w:r>
        <w:rPr>
          <w:rFonts w:hint="eastAsia" w:ascii="宋体" w:hAnsi="宋体" w:cs="宋体"/>
          <w:b/>
          <w:bCs/>
          <w:color w:val="auto"/>
          <w:sz w:val="28"/>
          <w:szCs w:val="28"/>
          <w:highlight w:val="none"/>
        </w:rPr>
        <w:t>第二部分  比选</w:t>
      </w:r>
      <w:r>
        <w:rPr>
          <w:rFonts w:hint="eastAsia" w:ascii="宋体" w:hAnsi="宋体" w:cs="宋体"/>
          <w:b/>
          <w:bCs/>
          <w:color w:val="auto"/>
          <w:sz w:val="28"/>
          <w:szCs w:val="28"/>
          <w:highlight w:val="none"/>
          <w:lang w:eastAsia="zh-CN"/>
        </w:rPr>
        <w:t>申请人</w:t>
      </w:r>
      <w:r>
        <w:rPr>
          <w:rFonts w:hint="eastAsia" w:ascii="宋体" w:hAnsi="宋体" w:cs="宋体"/>
          <w:b/>
          <w:bCs/>
          <w:color w:val="auto"/>
          <w:sz w:val="28"/>
          <w:szCs w:val="28"/>
          <w:highlight w:val="none"/>
        </w:rPr>
        <w:t>须知</w:t>
      </w:r>
      <w:bookmarkEnd w:id="18"/>
    </w:p>
    <w:p>
      <w:pPr>
        <w:tabs>
          <w:tab w:val="left" w:pos="1800"/>
        </w:tabs>
        <w:spacing w:line="400" w:lineRule="exact"/>
        <w:ind w:firstLine="422" w:firstLineChars="200"/>
        <w:outlineLvl w:val="1"/>
        <w:rPr>
          <w:rFonts w:hint="eastAsia" w:ascii="宋体" w:eastAsia="宋体"/>
          <w:color w:val="auto"/>
          <w:highlight w:val="none"/>
          <w:lang w:eastAsia="zh-CN"/>
        </w:rPr>
      </w:pPr>
      <w:bookmarkStart w:id="19" w:name="_Toc28329"/>
      <w:bookmarkStart w:id="20" w:name="_Toc32630"/>
      <w:bookmarkStart w:id="21" w:name="_Toc13179"/>
      <w:r>
        <w:rPr>
          <w:rFonts w:hint="eastAsia" w:ascii="宋体" w:hAnsi="宋体" w:cs="宋体"/>
          <w:b/>
          <w:bCs/>
          <w:color w:val="auto"/>
          <w:highlight w:val="none"/>
        </w:rPr>
        <w:t>一、项目名称：</w:t>
      </w:r>
      <w:bookmarkEnd w:id="19"/>
      <w:bookmarkEnd w:id="20"/>
      <w:bookmarkEnd w:id="21"/>
      <w:r>
        <w:rPr>
          <w:rFonts w:hint="eastAsia" w:ascii="宋体" w:hAnsi="宋体" w:cs="宋体"/>
          <w:color w:val="auto"/>
          <w:highlight w:val="none"/>
          <w:lang w:eastAsia="zh-CN"/>
        </w:rPr>
        <w:t>重咨集团2025年办公家具类采购（第三次）</w:t>
      </w:r>
    </w:p>
    <w:p>
      <w:pPr>
        <w:spacing w:line="400" w:lineRule="exact"/>
        <w:ind w:firstLine="422" w:firstLineChars="200"/>
        <w:rPr>
          <w:rFonts w:hint="eastAsia" w:ascii="宋体" w:hAnsi="宋体" w:eastAsia="宋体" w:cs="宋体"/>
          <w:b/>
          <w:bCs/>
          <w:color w:val="auto"/>
          <w:sz w:val="21"/>
          <w:szCs w:val="21"/>
          <w:highlight w:val="none"/>
          <w:lang w:val="en-US" w:eastAsia="zh-CN"/>
        </w:rPr>
      </w:pPr>
      <w:bookmarkStart w:id="22" w:name="_Toc5888"/>
      <w:bookmarkStart w:id="23" w:name="_Toc27802"/>
      <w:r>
        <w:rPr>
          <w:rFonts w:hint="eastAsia" w:ascii="宋体" w:hAnsi="宋体" w:cs="宋体"/>
          <w:b/>
          <w:bCs/>
          <w:color w:val="auto"/>
          <w:highlight w:val="none"/>
        </w:rPr>
        <w:t>二、</w:t>
      </w:r>
      <w:r>
        <w:rPr>
          <w:rFonts w:hint="eastAsia" w:ascii="宋体" w:hAnsi="宋体" w:eastAsia="宋体" w:cs="宋体"/>
          <w:b/>
          <w:bCs/>
          <w:color w:val="auto"/>
          <w:sz w:val="21"/>
          <w:szCs w:val="21"/>
          <w:highlight w:val="none"/>
          <w:lang w:val="en-US" w:eastAsia="zh-CN"/>
        </w:rPr>
        <w:t>项目概况及比选范围</w:t>
      </w:r>
    </w:p>
    <w:p>
      <w:pPr>
        <w:pStyle w:val="6"/>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highlight w:val="none"/>
          <w:lang w:val="en-US" w:eastAsia="zh-CN"/>
        </w:rPr>
      </w:pPr>
      <w:r>
        <w:rPr>
          <w:rFonts w:hint="eastAsia" w:ascii="宋体" w:hAnsi="宋体" w:eastAsia="宋体" w:cs="宋体"/>
          <w:b w:val="0"/>
          <w:color w:val="auto"/>
          <w:sz w:val="21"/>
          <w:szCs w:val="21"/>
          <w:highlight w:val="none"/>
          <w:lang w:val="en-US" w:eastAsia="zh-CN"/>
        </w:rPr>
        <w:t>2.1比选范围：大楼集中购置一批办公家具，主要包括：大中型会议厅使用的会议桌椅，以及各部门办公室使用的办公桌椅等的供货（制造，含备品、备件、专用工器具等）、装配（指出厂前组装、测试和检测、检验、现场整体组装（如有））、包装、运输和保险、装卸、安全保证、安装、调试、验收，质量保证期内的维修、维护、保养、人员培训（如有）以及其它相关伴随服务等工作内容</w:t>
      </w:r>
      <w:r>
        <w:rPr>
          <w:rFonts w:hint="eastAsia" w:ascii="宋体" w:hAnsi="宋体" w:eastAsia="宋体" w:cs="宋体"/>
          <w:b w:val="0"/>
          <w:color w:val="auto"/>
          <w:sz w:val="21"/>
          <w:szCs w:val="21"/>
          <w:highlight w:val="none"/>
        </w:rPr>
        <w:t>。</w:t>
      </w:r>
    </w:p>
    <w:p>
      <w:pPr>
        <w:pStyle w:val="6"/>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cs="宋体"/>
          <w:b w:val="0"/>
          <w:color w:val="auto"/>
          <w:sz w:val="21"/>
          <w:szCs w:val="21"/>
          <w:highlight w:val="none"/>
          <w:lang w:val="en-US" w:eastAsia="zh-CN"/>
        </w:rPr>
        <w:t>2.1.1项目</w:t>
      </w:r>
      <w:r>
        <w:rPr>
          <w:rFonts w:hint="eastAsia" w:ascii="宋体" w:hAnsi="宋体" w:eastAsia="宋体" w:cs="宋体"/>
          <w:b w:val="0"/>
          <w:color w:val="auto"/>
          <w:sz w:val="21"/>
          <w:szCs w:val="21"/>
          <w:highlight w:val="none"/>
          <w:lang w:val="en-US" w:eastAsia="zh-CN"/>
        </w:rPr>
        <w:t>估算金额约</w:t>
      </w:r>
      <w:r>
        <w:rPr>
          <w:rFonts w:hint="eastAsia" w:ascii="宋体" w:hAnsi="宋体" w:cs="宋体"/>
          <w:b w:val="0"/>
          <w:color w:val="auto"/>
          <w:sz w:val="21"/>
          <w:szCs w:val="21"/>
          <w:highlight w:val="none"/>
          <w:lang w:val="en-US" w:eastAsia="zh-CN"/>
        </w:rPr>
        <w:t>35</w:t>
      </w:r>
      <w:r>
        <w:rPr>
          <w:rFonts w:hint="eastAsia" w:ascii="宋体" w:hAnsi="宋体" w:eastAsia="宋体" w:cs="宋体"/>
          <w:b w:val="0"/>
          <w:color w:val="auto"/>
          <w:sz w:val="21"/>
          <w:szCs w:val="21"/>
          <w:highlight w:val="none"/>
          <w:lang w:val="en-US" w:eastAsia="zh-CN"/>
        </w:rPr>
        <w:t>万元</w:t>
      </w:r>
      <w:r>
        <w:rPr>
          <w:rFonts w:hint="eastAsia" w:ascii="宋体" w:hAnsi="宋体" w:cs="宋体"/>
          <w:b w:val="0"/>
          <w:color w:val="auto"/>
          <w:sz w:val="21"/>
          <w:szCs w:val="21"/>
          <w:highlight w:val="none"/>
          <w:lang w:val="en-US" w:eastAsia="zh-CN"/>
        </w:rPr>
        <w:t>，</w:t>
      </w:r>
      <w:r>
        <w:rPr>
          <w:rFonts w:hint="eastAsia" w:ascii="宋体" w:hAnsi="宋体" w:eastAsia="宋体" w:cs="宋体"/>
          <w:b w:val="0"/>
          <w:color w:val="auto"/>
          <w:sz w:val="21"/>
          <w:szCs w:val="21"/>
          <w:highlight w:val="none"/>
          <w:lang w:val="en-US" w:eastAsia="zh-CN"/>
        </w:rPr>
        <w:t>相关品的名称、预计采购数量</w:t>
      </w:r>
      <w:r>
        <w:rPr>
          <w:rFonts w:hint="eastAsia" w:ascii="宋体" w:hAnsi="宋体" w:cs="宋体"/>
          <w:b w:val="0"/>
          <w:color w:val="auto"/>
          <w:sz w:val="21"/>
          <w:szCs w:val="21"/>
          <w:highlight w:val="none"/>
          <w:lang w:val="en-US" w:eastAsia="zh-CN"/>
        </w:rPr>
        <w:t>（最高采购数量）</w:t>
      </w:r>
      <w:r>
        <w:rPr>
          <w:rFonts w:hint="eastAsia" w:ascii="宋体" w:hAnsi="宋体" w:eastAsia="宋体" w:cs="宋体"/>
          <w:b w:val="0"/>
          <w:color w:val="auto"/>
          <w:sz w:val="21"/>
          <w:szCs w:val="21"/>
          <w:highlight w:val="none"/>
          <w:lang w:val="en-US" w:eastAsia="zh-CN"/>
        </w:rPr>
        <w:t>、技术规格详见</w:t>
      </w:r>
      <w:r>
        <w:rPr>
          <w:rFonts w:hint="eastAsia" w:ascii="宋体" w:hAnsi="宋体" w:cs="宋体"/>
          <w:b w:val="0"/>
          <w:color w:val="auto"/>
          <w:sz w:val="21"/>
          <w:szCs w:val="21"/>
          <w:highlight w:val="none"/>
          <w:lang w:val="en-US" w:eastAsia="zh-CN"/>
        </w:rPr>
        <w:t>《附件：办公家具类采购清单》（第三次），最终以实际采购数量据实结算</w:t>
      </w:r>
      <w:r>
        <w:rPr>
          <w:rFonts w:hint="eastAsia" w:ascii="宋体" w:hAnsi="宋体" w:eastAsia="宋体" w:cs="宋体"/>
          <w:b w:val="0"/>
          <w:color w:val="auto"/>
          <w:sz w:val="21"/>
          <w:szCs w:val="21"/>
          <w:highlight w:val="none"/>
          <w:lang w:val="en-US" w:eastAsia="zh-CN"/>
        </w:rPr>
        <w:t>。</w:t>
      </w:r>
    </w:p>
    <w:p>
      <w:pPr>
        <w:pStyle w:val="6"/>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2.2</w:t>
      </w:r>
      <w:r>
        <w:rPr>
          <w:rFonts w:hint="eastAsia" w:ascii="宋体" w:hAnsi="宋体" w:cs="宋体"/>
          <w:b w:val="0"/>
          <w:color w:val="auto"/>
          <w:sz w:val="21"/>
          <w:szCs w:val="21"/>
          <w:highlight w:val="none"/>
          <w:lang w:val="en-US" w:eastAsia="zh-CN"/>
        </w:rPr>
        <w:t>交货地点</w:t>
      </w:r>
      <w:r>
        <w:rPr>
          <w:rFonts w:hint="eastAsia" w:ascii="宋体" w:hAnsi="宋体" w:eastAsia="宋体" w:cs="宋体"/>
          <w:b w:val="0"/>
          <w:color w:val="auto"/>
          <w:sz w:val="21"/>
          <w:szCs w:val="21"/>
          <w:highlight w:val="none"/>
          <w:lang w:val="en-US" w:eastAsia="zh-CN"/>
        </w:rPr>
        <w:t>：</w:t>
      </w:r>
      <w:r>
        <w:rPr>
          <w:rFonts w:hint="eastAsia" w:ascii="宋体" w:hAnsi="宋体" w:cs="宋体"/>
          <w:b w:val="0"/>
          <w:color w:val="auto"/>
          <w:sz w:val="21"/>
          <w:szCs w:val="21"/>
          <w:highlight w:val="none"/>
          <w:lang w:val="en-US" w:eastAsia="zh-CN"/>
        </w:rPr>
        <w:t>比选人指定地点</w:t>
      </w:r>
      <w:r>
        <w:rPr>
          <w:rFonts w:hint="eastAsia" w:ascii="宋体" w:hAnsi="宋体" w:eastAsia="宋体" w:cs="宋体"/>
          <w:b w:val="0"/>
          <w:color w:val="auto"/>
          <w:sz w:val="21"/>
          <w:szCs w:val="21"/>
          <w:highlight w:val="none"/>
          <w:lang w:val="en-US" w:eastAsia="zh-CN"/>
        </w:rPr>
        <w:t>。</w:t>
      </w:r>
    </w:p>
    <w:p>
      <w:pPr>
        <w:pStyle w:val="6"/>
        <w:keepNext w:val="0"/>
        <w:keepLines w:val="0"/>
        <w:pageBreakBefore w:val="0"/>
        <w:widowControl w:val="0"/>
        <w:kinsoku/>
        <w:wordWrap/>
        <w:overflowPunct/>
        <w:topLinePunct w:val="0"/>
        <w:bidi w:val="0"/>
        <w:adjustRightInd/>
        <w:snapToGrid/>
        <w:spacing w:beforeLines="0" w:afterLines="0" w:line="400" w:lineRule="exact"/>
        <w:ind w:firstLine="420" w:firstLineChars="200"/>
        <w:jc w:val="left"/>
        <w:textAlignment w:val="auto"/>
        <w:rPr>
          <w:rFonts w:hint="eastAsia" w:ascii="宋体" w:hAnsi="宋体" w:eastAsia="宋体" w:cs="宋体"/>
          <w:b w:val="0"/>
          <w:color w:val="auto"/>
          <w:sz w:val="21"/>
          <w:szCs w:val="21"/>
          <w:highlight w:val="none"/>
          <w:lang w:eastAsia="zh-CN"/>
        </w:rPr>
      </w:pPr>
      <w:r>
        <w:rPr>
          <w:rFonts w:hint="eastAsia" w:ascii="宋体" w:hAnsi="宋体" w:eastAsia="宋体" w:cs="宋体"/>
          <w:b w:val="0"/>
          <w:color w:val="auto"/>
          <w:sz w:val="21"/>
          <w:szCs w:val="21"/>
          <w:highlight w:val="none"/>
          <w:lang w:val="en-US" w:eastAsia="zh-CN"/>
        </w:rPr>
        <w:t>2.3交</w:t>
      </w:r>
      <w:r>
        <w:rPr>
          <w:rFonts w:hint="eastAsia" w:ascii="宋体" w:hAnsi="宋体" w:cs="宋体"/>
          <w:b w:val="0"/>
          <w:color w:val="auto"/>
          <w:sz w:val="21"/>
          <w:szCs w:val="21"/>
          <w:highlight w:val="none"/>
          <w:lang w:val="en-US" w:eastAsia="zh-CN"/>
        </w:rPr>
        <w:t>货</w:t>
      </w:r>
      <w:r>
        <w:rPr>
          <w:rFonts w:hint="eastAsia" w:ascii="宋体" w:hAnsi="宋体" w:eastAsia="宋体" w:cs="宋体"/>
          <w:b w:val="0"/>
          <w:color w:val="auto"/>
          <w:sz w:val="21"/>
          <w:szCs w:val="21"/>
          <w:highlight w:val="none"/>
          <w:lang w:val="en-US" w:eastAsia="zh-CN"/>
        </w:rPr>
        <w:t>期：合同签订后</w:t>
      </w:r>
      <w:r>
        <w:rPr>
          <w:rFonts w:hint="eastAsia" w:ascii="宋体" w:hAnsi="宋体" w:cs="宋体"/>
          <w:b w:val="0"/>
          <w:color w:val="auto"/>
          <w:sz w:val="21"/>
          <w:szCs w:val="21"/>
          <w:highlight w:val="none"/>
          <w:lang w:val="en-US" w:eastAsia="zh-CN"/>
        </w:rPr>
        <w:t>25</w:t>
      </w:r>
      <w:r>
        <w:rPr>
          <w:rFonts w:hint="eastAsia" w:ascii="宋体" w:hAnsi="宋体" w:eastAsia="宋体" w:cs="宋体"/>
          <w:b w:val="0"/>
          <w:color w:val="auto"/>
          <w:sz w:val="21"/>
          <w:szCs w:val="21"/>
          <w:highlight w:val="none"/>
          <w:lang w:val="en-US" w:eastAsia="zh-CN"/>
        </w:rPr>
        <w:t>日内交付</w:t>
      </w:r>
      <w:r>
        <w:rPr>
          <w:rFonts w:hint="eastAsia" w:ascii="宋体" w:hAnsi="宋体" w:eastAsia="宋体" w:cs="宋体"/>
          <w:b w:val="0"/>
          <w:color w:val="auto"/>
          <w:sz w:val="21"/>
          <w:szCs w:val="21"/>
          <w:highlight w:val="none"/>
          <w:lang w:eastAsia="zh-CN"/>
        </w:rPr>
        <w:t>。</w:t>
      </w:r>
    </w:p>
    <w:p>
      <w:pPr>
        <w:keepNext w:val="0"/>
        <w:keepLines w:val="0"/>
        <w:pageBreakBefore w:val="0"/>
        <w:widowControl w:val="0"/>
        <w:kinsoku/>
        <w:wordWrap/>
        <w:overflowPunct/>
        <w:topLinePunct w:val="0"/>
        <w:bidi w:val="0"/>
        <w:adjustRightInd/>
        <w:snapToGrid/>
        <w:spacing w:line="400" w:lineRule="exact"/>
        <w:jc w:val="left"/>
        <w:textAlignment w:val="auto"/>
        <w:rPr>
          <w:rFonts w:hint="default"/>
          <w:highlight w:val="none"/>
          <w:lang w:val="en-US" w:eastAsia="zh-CN"/>
        </w:rPr>
      </w:pPr>
      <w:r>
        <w:rPr>
          <w:rFonts w:hint="eastAsia" w:ascii="宋体" w:hAnsi="宋体" w:eastAsia="宋体" w:cs="宋体"/>
          <w:b w:val="0"/>
          <w:color w:val="auto"/>
          <w:sz w:val="21"/>
          <w:szCs w:val="21"/>
          <w:highlight w:val="none"/>
          <w:lang w:val="en-US" w:eastAsia="zh-CN"/>
        </w:rPr>
        <w:t xml:space="preserve">    2.4质保期：不少于1年。</w:t>
      </w:r>
    </w:p>
    <w:p>
      <w:pPr>
        <w:spacing w:line="400" w:lineRule="exact"/>
        <w:ind w:firstLine="422" w:firstLineChars="200"/>
        <w:rPr>
          <w:rFonts w:ascii="宋体"/>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比选申请人资格条件要求：</w:t>
      </w:r>
    </w:p>
    <w:bookmarkEnd w:id="22"/>
    <w:bookmarkEnd w:id="23"/>
    <w:p>
      <w:pPr>
        <w:spacing w:line="400" w:lineRule="exact"/>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3.1</w:t>
      </w:r>
      <w:r>
        <w:rPr>
          <w:rFonts w:hint="eastAsia" w:ascii="宋体" w:hAnsi="宋体" w:cs="宋体"/>
          <w:b w:val="0"/>
          <w:color w:val="auto"/>
          <w:sz w:val="21"/>
          <w:szCs w:val="21"/>
          <w:highlight w:val="none"/>
          <w:lang w:val="en-US" w:eastAsia="zh-CN"/>
        </w:rPr>
        <w:t>具有有效的营业执照</w:t>
      </w:r>
      <w:r>
        <w:rPr>
          <w:rFonts w:hint="eastAsia" w:ascii="宋体" w:hAnsi="宋体" w:cs="宋体"/>
          <w:color w:val="auto"/>
          <w:highlight w:val="none"/>
          <w:lang w:eastAsia="zh-CN"/>
        </w:rPr>
        <w:t>；</w:t>
      </w:r>
      <w:r>
        <w:rPr>
          <w:rFonts w:ascii="宋体" w:hAnsi="宋体" w:cs="宋体"/>
          <w:b/>
          <w:bCs/>
          <w:color w:val="auto"/>
          <w:highlight w:val="none"/>
        </w:rPr>
        <w:t>[</w:t>
      </w:r>
      <w:r>
        <w:rPr>
          <w:rFonts w:hint="eastAsia" w:ascii="宋体" w:hAnsi="宋体" w:cs="宋体"/>
          <w:b/>
          <w:bCs/>
          <w:color w:val="auto"/>
          <w:highlight w:val="none"/>
        </w:rPr>
        <w:t>比选申请人须提供有效的营业执照复印件或扫描件。</w:t>
      </w:r>
      <w:r>
        <w:rPr>
          <w:rFonts w:ascii="宋体" w:hAnsi="宋体" w:cs="宋体"/>
          <w:b/>
          <w:bCs/>
          <w:color w:val="auto"/>
          <w:highlight w:val="none"/>
        </w:rPr>
        <w:t>]</w:t>
      </w:r>
    </w:p>
    <w:p>
      <w:pPr>
        <w:autoSpaceDE w:val="0"/>
        <w:autoSpaceDN w:val="0"/>
        <w:spacing w:line="400" w:lineRule="exact"/>
        <w:ind w:firstLine="420" w:firstLineChars="200"/>
        <w:rPr>
          <w:rFonts w:hint="default" w:ascii="宋体" w:hAnsi="宋体" w:cs="宋体"/>
          <w:b/>
          <w:bCs/>
          <w:color w:val="auto"/>
          <w:highlight w:val="none"/>
          <w:lang w:val="en-US"/>
        </w:rPr>
      </w:pPr>
      <w:r>
        <w:rPr>
          <w:rFonts w:hint="eastAsia" w:ascii="宋体" w:hAnsi="宋体" w:cs="宋体"/>
          <w:color w:val="auto"/>
          <w:highlight w:val="none"/>
          <w:lang w:val="en-US" w:eastAsia="zh-CN"/>
        </w:rPr>
        <w:t>3.2产品要求：</w:t>
      </w:r>
      <w:r>
        <w:rPr>
          <w:rFonts w:hint="eastAsia" w:ascii="宋体" w:hAnsi="宋体" w:cs="宋体"/>
          <w:highlight w:val="none"/>
        </w:rPr>
        <w:t>产品符合国家规定的相应标准</w:t>
      </w:r>
      <w:r>
        <w:rPr>
          <w:rFonts w:hint="eastAsia" w:ascii="宋体" w:hAnsi="宋体" w:cs="宋体"/>
          <w:highlight w:val="none"/>
          <w:lang w:eastAsia="zh-CN"/>
        </w:rPr>
        <w:t>；</w:t>
      </w:r>
      <w:r>
        <w:rPr>
          <w:rFonts w:hint="eastAsia" w:ascii="宋体" w:hAnsi="宋体" w:cs="宋体"/>
          <w:b/>
          <w:bCs/>
          <w:color w:val="auto"/>
          <w:highlight w:val="none"/>
          <w:lang w:val="en-US" w:eastAsia="zh-CN"/>
        </w:rPr>
        <w:t>[比选申请人须对产品要求提供承诺，</w:t>
      </w:r>
      <w:r>
        <w:rPr>
          <w:rFonts w:hint="eastAsia" w:ascii="宋体" w:hAnsi="宋体" w:cs="宋体"/>
          <w:b/>
          <w:bCs/>
          <w:color w:val="auto"/>
          <w:highlight w:val="none"/>
          <w:lang w:eastAsia="zh-CN"/>
        </w:rPr>
        <w:t>格式详见第四部分  响应文件格式</w:t>
      </w:r>
      <w:r>
        <w:rPr>
          <w:rFonts w:hint="eastAsia" w:ascii="宋体" w:hAnsi="宋体" w:cs="宋体"/>
          <w:b/>
          <w:bCs/>
          <w:color w:val="auto"/>
          <w:highlight w:val="none"/>
        </w:rPr>
        <w:t>。]</w:t>
      </w:r>
    </w:p>
    <w:p>
      <w:pPr>
        <w:autoSpaceDE w:val="0"/>
        <w:autoSpaceDN w:val="0"/>
        <w:spacing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3.3</w:t>
      </w:r>
      <w:r>
        <w:rPr>
          <w:rFonts w:hint="eastAsia" w:ascii="宋体" w:hAnsi="宋体"/>
          <w:b w:val="0"/>
          <w:bCs w:val="0"/>
          <w:highlight w:val="none"/>
          <w:lang w:val="en-US" w:eastAsia="zh-CN"/>
        </w:rPr>
        <w:t>比选申请人</w:t>
      </w:r>
      <w:r>
        <w:rPr>
          <w:rFonts w:hint="eastAsia" w:ascii="宋体" w:hAnsi="宋体" w:cs="宋体"/>
          <w:b w:val="0"/>
          <w:bCs w:val="0"/>
          <w:lang w:val="en-US" w:eastAsia="zh-CN"/>
        </w:rPr>
        <w:t>按照附件：《办公家具类采购清单》要求在响应文件中逐项提供参选货物的相应证明材料（认证证书、</w:t>
      </w:r>
      <w:r>
        <w:rPr>
          <w:rFonts w:hint="eastAsia" w:ascii="宋体" w:hAnsi="宋体" w:cs="宋体"/>
          <w:color w:val="auto"/>
          <w:sz w:val="21"/>
          <w:szCs w:val="21"/>
          <w:highlight w:val="none"/>
          <w:lang w:val="en-US" w:eastAsia="zh-CN"/>
        </w:rPr>
        <w:t>第三方检测机构出具的检测报告或其他相关证明文件（其他相关证明文件指包括但不限于产品合格证、产品制作工艺说明书等能够证明参选货物达到相应标准的证明材料）</w:t>
      </w:r>
      <w:r>
        <w:rPr>
          <w:rFonts w:hint="eastAsia" w:ascii="宋体" w:hAnsi="宋体" w:cs="宋体"/>
          <w:b w:val="0"/>
          <w:bCs w:val="0"/>
          <w:lang w:val="en-US" w:eastAsia="zh-CN"/>
        </w:rPr>
        <w:t>），须达到附件：《办公家具类采购清单》要求。</w:t>
      </w:r>
      <w:r>
        <w:rPr>
          <w:rFonts w:hint="eastAsia" w:ascii="宋体" w:hAnsi="宋体" w:cs="宋体"/>
          <w:b/>
          <w:bCs/>
          <w:color w:val="auto"/>
          <w:highlight w:val="none"/>
        </w:rPr>
        <w:t>[比选申请人须</w:t>
      </w:r>
      <w:r>
        <w:rPr>
          <w:rFonts w:hint="eastAsia" w:ascii="宋体" w:hAnsi="宋体" w:cs="宋体"/>
          <w:b/>
          <w:bCs/>
          <w:color w:val="auto"/>
          <w:highlight w:val="none"/>
          <w:lang w:val="en-US" w:eastAsia="zh-CN"/>
        </w:rPr>
        <w:t>在响应文件中提供</w:t>
      </w:r>
      <w:r>
        <w:rPr>
          <w:rFonts w:hint="eastAsia" w:ascii="宋体" w:hAnsi="宋体" w:cs="宋体"/>
          <w:b/>
          <w:bCs/>
          <w:color w:val="auto"/>
          <w:highlight w:val="none"/>
        </w:rPr>
        <w:t>。]</w:t>
      </w:r>
    </w:p>
    <w:p>
      <w:pPr>
        <w:autoSpaceDE w:val="0"/>
        <w:autoSpaceDN w:val="0"/>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4供货要求：比选申请人承诺如成为中选人，供货前须按《附件：办公家具类采购清单》（第三次）要求向比选人提供采购货物的认证证书、第三方检测机构出具的检测报告或其他相关证明文件</w:t>
      </w:r>
      <w:bookmarkStart w:id="24" w:name="OLE_LINK1"/>
      <w:r>
        <w:rPr>
          <w:rFonts w:hint="eastAsia" w:ascii="宋体" w:hAnsi="宋体" w:cs="宋体"/>
          <w:color w:val="auto"/>
          <w:sz w:val="21"/>
          <w:szCs w:val="21"/>
          <w:highlight w:val="none"/>
          <w:lang w:val="en-US" w:eastAsia="zh-CN"/>
        </w:rPr>
        <w:t>（其他相关证明文件指包括但不限于产品合格证、产品制作工艺说明书等能够证明所购货物达到相应标准的证明材料），否则比选人有权拒收货物</w:t>
      </w:r>
      <w:bookmarkEnd w:id="24"/>
      <w:r>
        <w:rPr>
          <w:rFonts w:hint="eastAsia" w:ascii="宋体" w:hAnsi="宋体" w:cs="宋体"/>
          <w:color w:val="auto"/>
          <w:sz w:val="21"/>
          <w:szCs w:val="21"/>
          <w:highlight w:val="none"/>
          <w:lang w:val="en-US" w:eastAsia="zh-CN"/>
        </w:rPr>
        <w:t>，过程中出现的损失由供应商自行承担</w:t>
      </w:r>
      <w:r>
        <w:rPr>
          <w:rFonts w:hint="eastAsia" w:ascii="宋体" w:hAnsi="宋体" w:cs="宋体"/>
          <w:b/>
          <w:bCs/>
          <w:color w:val="auto"/>
          <w:highlight w:val="none"/>
        </w:rPr>
        <w:t>[比选申请人须</w:t>
      </w:r>
      <w:r>
        <w:rPr>
          <w:rFonts w:hint="eastAsia" w:ascii="宋体" w:hAnsi="宋体" w:cs="宋体"/>
          <w:b/>
          <w:bCs/>
          <w:color w:val="auto"/>
          <w:highlight w:val="none"/>
          <w:lang w:eastAsia="zh-CN"/>
        </w:rPr>
        <w:t>对</w:t>
      </w:r>
      <w:r>
        <w:rPr>
          <w:rFonts w:hint="eastAsia" w:ascii="宋体" w:hAnsi="宋体" w:cs="宋体"/>
          <w:b/>
          <w:bCs/>
          <w:color w:val="auto"/>
          <w:highlight w:val="none"/>
          <w:lang w:val="en-US" w:eastAsia="zh-CN"/>
        </w:rPr>
        <w:t>供货</w:t>
      </w:r>
      <w:r>
        <w:rPr>
          <w:rFonts w:hint="eastAsia" w:ascii="宋体" w:hAnsi="宋体" w:cs="宋体"/>
          <w:b/>
          <w:bCs/>
          <w:color w:val="auto"/>
          <w:highlight w:val="none"/>
          <w:lang w:eastAsia="zh-CN"/>
        </w:rPr>
        <w:t>要求</w:t>
      </w:r>
      <w:r>
        <w:rPr>
          <w:rFonts w:hint="eastAsia" w:ascii="宋体" w:hAnsi="宋体" w:cs="宋体"/>
          <w:b/>
          <w:bCs/>
          <w:color w:val="auto"/>
          <w:highlight w:val="none"/>
        </w:rPr>
        <w:t>提供承诺，</w:t>
      </w:r>
      <w:r>
        <w:rPr>
          <w:rFonts w:hint="eastAsia" w:ascii="宋体" w:hAnsi="宋体" w:cs="宋体"/>
          <w:b/>
          <w:bCs/>
          <w:color w:val="auto"/>
          <w:highlight w:val="none"/>
          <w:lang w:eastAsia="zh-CN"/>
        </w:rPr>
        <w:t>格式详见第四部分  响应文件格式</w:t>
      </w:r>
      <w:r>
        <w:rPr>
          <w:rFonts w:hint="eastAsia" w:ascii="宋体" w:hAnsi="宋体" w:cs="宋体"/>
          <w:b/>
          <w:bCs/>
          <w:color w:val="auto"/>
          <w:highlight w:val="none"/>
        </w:rPr>
        <w:t>。]</w:t>
      </w:r>
    </w:p>
    <w:p>
      <w:pPr>
        <w:spacing w:line="400" w:lineRule="exact"/>
        <w:ind w:firstLine="420" w:firstLineChars="200"/>
        <w:rPr>
          <w:rFonts w:hint="eastAsia" w:ascii="宋体" w:hAnsi="宋体" w:cs="宋体"/>
          <w:b/>
          <w:bCs/>
          <w:color w:val="auto"/>
          <w:highlight w:val="none"/>
          <w:lang w:eastAsia="zh-CN"/>
        </w:rPr>
      </w:pPr>
      <w:r>
        <w:rPr>
          <w:rFonts w:hint="eastAsia" w:ascii="宋体" w:hAnsi="宋体" w:cs="宋体"/>
          <w:color w:val="auto"/>
          <w:highlight w:val="none"/>
          <w:lang w:val="en-US" w:eastAsia="zh-CN"/>
        </w:rPr>
        <w:t>3.5其他承诺：</w:t>
      </w:r>
      <w:r>
        <w:rPr>
          <w:rFonts w:hint="eastAsia" w:ascii="Arial" w:hAnsi="Arial" w:eastAsia="宋体" w:cs="Arial"/>
          <w:i w:val="0"/>
          <w:iCs w:val="0"/>
          <w:caps w:val="0"/>
          <w:color w:val="333333"/>
          <w:spacing w:val="0"/>
          <w:sz w:val="21"/>
          <w:szCs w:val="21"/>
          <w:highlight w:val="none"/>
          <w:shd w:val="clear" w:color="auto" w:fill="FDFDFD"/>
          <w:lang w:val="en-US" w:eastAsia="zh-CN"/>
        </w:rPr>
        <w:t>比选申请人承诺</w:t>
      </w:r>
      <w:r>
        <w:rPr>
          <w:rFonts w:hint="eastAsia" w:ascii="宋体" w:hAnsi="宋体" w:cs="宋体"/>
          <w:color w:val="auto"/>
          <w:highlight w:val="none"/>
          <w:lang w:val="en-US" w:eastAsia="zh-CN"/>
        </w:rPr>
        <w:t>自愿接受比选人在中选候选人中自主确定中选人，且不得对本事项提出任何异议。</w:t>
      </w:r>
      <w:r>
        <w:rPr>
          <w:rFonts w:hint="eastAsia" w:ascii="宋体" w:hAnsi="宋体" w:cs="宋体"/>
          <w:b/>
          <w:bCs/>
          <w:color w:val="auto"/>
          <w:highlight w:val="none"/>
          <w:lang w:eastAsia="zh-CN"/>
        </w:rPr>
        <w:t>[比选申请人须对事项提供承诺，格式详见第四部分  响应文件格式。]</w:t>
      </w:r>
    </w:p>
    <w:p>
      <w:pPr>
        <w:spacing w:line="400" w:lineRule="exact"/>
        <w:ind w:firstLine="420" w:firstLineChars="200"/>
        <w:rPr>
          <w:rFonts w:hint="eastAsia" w:ascii="宋体" w:hAnsi="宋体" w:cs="宋体"/>
          <w:b/>
          <w:bCs/>
          <w:color w:val="auto"/>
          <w:highlight w:val="none"/>
          <w:lang w:eastAsia="zh-CN"/>
        </w:rPr>
      </w:pPr>
      <w:r>
        <w:rPr>
          <w:rFonts w:hint="eastAsia" w:ascii="宋体" w:hAnsi="宋体" w:cs="宋体"/>
          <w:color w:val="auto"/>
          <w:highlight w:val="none"/>
          <w:lang w:val="en-US" w:eastAsia="zh-CN"/>
        </w:rPr>
        <w:t>3.6</w:t>
      </w:r>
      <w:r>
        <w:rPr>
          <w:rFonts w:hint="eastAsia" w:ascii="宋体" w:hAnsi="宋体" w:cs="宋体"/>
          <w:color w:val="auto"/>
          <w:highlight w:val="none"/>
          <w:lang w:eastAsia="zh-CN"/>
        </w:rPr>
        <w:t>本次比选不接受联合体，也不允许转包及分包，不允许挂靠。</w:t>
      </w:r>
      <w:r>
        <w:rPr>
          <w:rFonts w:hint="eastAsia" w:ascii="宋体" w:hAnsi="宋体" w:cs="宋体"/>
          <w:b/>
          <w:bCs/>
          <w:color w:val="auto"/>
          <w:highlight w:val="none"/>
          <w:lang w:eastAsia="zh-CN"/>
        </w:rPr>
        <w:t>[比选申请人须</w:t>
      </w:r>
      <w:r>
        <w:rPr>
          <w:rFonts w:hint="eastAsia" w:ascii="宋体" w:hAnsi="宋体" w:cs="宋体"/>
          <w:b/>
          <w:bCs/>
          <w:color w:val="auto"/>
          <w:highlight w:val="none"/>
          <w:lang w:val="en-US" w:eastAsia="zh-CN"/>
        </w:rPr>
        <w:t>对</w:t>
      </w:r>
      <w:r>
        <w:rPr>
          <w:rFonts w:hint="eastAsia" w:ascii="宋体" w:hAnsi="宋体" w:cs="宋体"/>
          <w:b/>
          <w:bCs/>
          <w:color w:val="auto"/>
          <w:highlight w:val="none"/>
          <w:lang w:eastAsia="zh-CN"/>
        </w:rPr>
        <w:t>本要求提供承诺，格式详见第四部分  响应文件格式。]</w:t>
      </w:r>
    </w:p>
    <w:p>
      <w:pPr>
        <w:spacing w:line="400" w:lineRule="exact"/>
        <w:ind w:firstLine="420" w:firstLineChars="200"/>
        <w:rPr>
          <w:rFonts w:hint="eastAsia" w:ascii="宋体" w:hAnsi="宋体" w:cs="宋体"/>
          <w:color w:val="auto"/>
          <w:highlight w:val="none"/>
          <w:lang w:eastAsia="zh-CN"/>
        </w:rPr>
      </w:pPr>
      <w:bookmarkStart w:id="25" w:name="_Toc22052"/>
      <w:r>
        <w:rPr>
          <w:rFonts w:hint="eastAsia" w:ascii="宋体" w:hAnsi="宋体" w:cs="宋体"/>
          <w:color w:val="auto"/>
          <w:highlight w:val="none"/>
          <w:lang w:eastAsia="zh-CN"/>
        </w:rPr>
        <w:t>特别说明：（1）上述要求提交的相关证明材料均须加盖比选申请人公章并装入响应文件中，证明材料须清晰可辨，有一条不满足，则响应文件由评审委员会作否决竞选处理。</w:t>
      </w:r>
      <w:bookmarkEnd w:id="25"/>
      <w:r>
        <w:rPr>
          <w:rFonts w:hint="eastAsia" w:ascii="宋体" w:hAnsi="宋体" w:cs="宋体"/>
          <w:color w:val="auto"/>
          <w:highlight w:val="none"/>
          <w:lang w:eastAsia="zh-CN"/>
        </w:rPr>
        <w:t xml:space="preserve"> </w:t>
      </w:r>
    </w:p>
    <w:p>
      <w:pPr>
        <w:spacing w:line="400" w:lineRule="exact"/>
        <w:ind w:firstLine="420" w:firstLineChars="200"/>
        <w:rPr>
          <w:rFonts w:hint="eastAsia" w:ascii="宋体" w:hAnsi="宋体" w:cs="宋体"/>
          <w:color w:val="auto"/>
          <w:highlight w:val="none"/>
          <w:lang w:eastAsia="zh-CN"/>
        </w:rPr>
      </w:pPr>
      <w:bookmarkStart w:id="26" w:name="_Toc29520"/>
      <w:r>
        <w:rPr>
          <w:rFonts w:hint="eastAsia" w:ascii="宋体" w:hAnsi="宋体" w:cs="宋体"/>
          <w:color w:val="auto"/>
          <w:highlight w:val="none"/>
          <w:lang w:eastAsia="zh-CN"/>
        </w:rPr>
        <w:t>（2）比选申请人其提供的上述相关证明材料真实有效，不存在弄虚作假情形。比选人在合同签订前均有权对比选申请人提供的资料进行核实，若发现弄虚作假，按相关规定取消其中选资格，比选申请人承担因此造成的相关责任并赔偿相应损失。</w:t>
      </w:r>
      <w:bookmarkEnd w:id="26"/>
    </w:p>
    <w:p>
      <w:pPr>
        <w:tabs>
          <w:tab w:val="left" w:pos="1800"/>
        </w:tabs>
        <w:spacing w:line="400" w:lineRule="exact"/>
        <w:ind w:firstLine="422" w:firstLineChars="200"/>
        <w:outlineLvl w:val="1"/>
        <w:rPr>
          <w:rFonts w:ascii="宋体"/>
          <w:b/>
          <w:bCs/>
          <w:color w:val="auto"/>
          <w:highlight w:val="none"/>
        </w:rPr>
      </w:pPr>
      <w:bookmarkStart w:id="27" w:name="_Toc28087"/>
      <w:bookmarkStart w:id="28" w:name="_Toc5317"/>
      <w:bookmarkStart w:id="29" w:name="_Toc2986"/>
      <w:r>
        <w:rPr>
          <w:rFonts w:hint="eastAsia" w:ascii="宋体" w:hAnsi="宋体" w:cs="宋体"/>
          <w:b/>
          <w:bCs/>
          <w:color w:val="auto"/>
          <w:highlight w:val="none"/>
          <w:lang w:eastAsia="zh-CN"/>
        </w:rPr>
        <w:t>四</w:t>
      </w:r>
      <w:r>
        <w:rPr>
          <w:rFonts w:hint="eastAsia" w:ascii="宋体" w:hAnsi="宋体" w:cs="宋体"/>
          <w:b/>
          <w:bCs/>
          <w:color w:val="auto"/>
          <w:highlight w:val="none"/>
        </w:rPr>
        <w:t>、比选限价、报价、</w:t>
      </w:r>
      <w:r>
        <w:rPr>
          <w:rFonts w:hint="eastAsia" w:ascii="宋体" w:hAnsi="宋体" w:cs="宋体"/>
          <w:b/>
          <w:bCs/>
          <w:color w:val="auto"/>
          <w:highlight w:val="none"/>
          <w:lang w:eastAsia="zh-CN"/>
        </w:rPr>
        <w:t>响应</w:t>
      </w:r>
      <w:r>
        <w:rPr>
          <w:rFonts w:hint="eastAsia" w:ascii="宋体" w:hAnsi="宋体" w:cs="宋体"/>
          <w:b/>
          <w:bCs/>
          <w:color w:val="auto"/>
          <w:highlight w:val="none"/>
        </w:rPr>
        <w:t>保证金、评审办法</w:t>
      </w:r>
      <w:r>
        <w:rPr>
          <w:rFonts w:ascii="宋体" w:hAnsi="宋体" w:cs="宋体"/>
          <w:b/>
          <w:bCs/>
          <w:color w:val="auto"/>
          <w:highlight w:val="none"/>
        </w:rPr>
        <w:t>:</w:t>
      </w:r>
      <w:bookmarkEnd w:id="27"/>
      <w:bookmarkEnd w:id="28"/>
      <w:bookmarkEnd w:id="29"/>
    </w:p>
    <w:p>
      <w:pPr>
        <w:spacing w:line="400" w:lineRule="exact"/>
        <w:ind w:firstLine="422" w:firstLineChars="200"/>
        <w:rPr>
          <w:rFonts w:ascii="宋体"/>
          <w:color w:val="auto"/>
          <w:highlight w:val="none"/>
        </w:rPr>
      </w:pPr>
      <w:r>
        <w:rPr>
          <w:rFonts w:hint="eastAsia" w:ascii="宋体" w:hAnsi="宋体" w:cs="宋体"/>
          <w:b/>
          <w:bCs/>
          <w:color w:val="auto"/>
          <w:highlight w:val="none"/>
        </w:rPr>
        <w:t>（一）限价、报价说明</w:t>
      </w:r>
      <w:r>
        <w:rPr>
          <w:rFonts w:hint="eastAsia" w:ascii="宋体" w:hAnsi="宋体" w:cs="宋体"/>
          <w:color w:val="auto"/>
          <w:highlight w:val="none"/>
        </w:rPr>
        <w:t>：</w:t>
      </w:r>
    </w:p>
    <w:p>
      <w:pPr>
        <w:tabs>
          <w:tab w:val="left" w:pos="1800"/>
        </w:tabs>
        <w:spacing w:line="400" w:lineRule="exact"/>
        <w:ind w:firstLine="420" w:firstLineChars="200"/>
        <w:outlineLvl w:val="1"/>
        <w:rPr>
          <w:rFonts w:hint="default" w:cs="宋体"/>
          <w:color w:val="auto"/>
          <w:highlight w:val="none"/>
          <w:lang w:val="en-US" w:eastAsia="zh-CN"/>
        </w:rPr>
      </w:pPr>
      <w:bookmarkStart w:id="30" w:name="_Toc25906"/>
      <w:bookmarkStart w:id="31" w:name="_Toc27688"/>
      <w:r>
        <w:rPr>
          <w:rFonts w:hint="eastAsia" w:ascii="宋体" w:hAnsi="宋体" w:cs="宋体"/>
          <w:color w:val="auto"/>
          <w:highlight w:val="none"/>
        </w:rPr>
        <w:t>1、</w:t>
      </w:r>
      <w:bookmarkEnd w:id="30"/>
      <w:r>
        <w:rPr>
          <w:rFonts w:hint="eastAsia" w:ascii="宋体" w:hAnsi="宋体" w:cs="宋体"/>
          <w:color w:val="auto"/>
          <w:highlight w:val="none"/>
        </w:rPr>
        <w:t>本次比选</w:t>
      </w:r>
      <w:r>
        <w:rPr>
          <w:rFonts w:hint="eastAsia" w:ascii="宋体" w:hAnsi="宋体" w:cs="宋体"/>
          <w:color w:val="000000"/>
          <w:highlight w:val="none"/>
          <w:lang w:eastAsia="zh-CN"/>
        </w:rPr>
        <w:t>响应总报价</w:t>
      </w:r>
      <w:r>
        <w:rPr>
          <w:rFonts w:hint="eastAsia" w:ascii="宋体" w:hAnsi="宋体" w:cs="宋体"/>
          <w:color w:val="auto"/>
          <w:highlight w:val="none"/>
        </w:rPr>
        <w:t>最高限价为</w:t>
      </w:r>
      <w:r>
        <w:rPr>
          <w:rFonts w:hint="eastAsia" w:ascii="宋体" w:hAnsi="宋体" w:cs="宋体"/>
          <w:color w:val="auto"/>
          <w:highlight w:val="none"/>
          <w:lang w:val="en-US" w:eastAsia="zh-CN"/>
        </w:rPr>
        <w:t>349300.00</w:t>
      </w:r>
      <w:r>
        <w:rPr>
          <w:rFonts w:hint="eastAsia" w:ascii="宋体" w:hAnsi="宋体" w:cs="宋体"/>
          <w:color w:val="auto"/>
          <w:highlight w:val="none"/>
        </w:rPr>
        <w:t>元</w:t>
      </w:r>
      <w:r>
        <w:rPr>
          <w:rFonts w:hint="eastAsia" w:ascii="宋体" w:hAnsi="宋体" w:cs="宋体"/>
          <w:color w:val="000000"/>
          <w:highlight w:val="none"/>
        </w:rPr>
        <w:t>，</w:t>
      </w:r>
      <w:r>
        <w:rPr>
          <w:rFonts w:hint="eastAsia" w:ascii="宋体" w:hAnsi="宋体" w:cs="宋体"/>
          <w:highlight w:val="none"/>
        </w:rPr>
        <w:t>。</w:t>
      </w:r>
      <w:r>
        <w:rPr>
          <w:rFonts w:hint="eastAsia" w:ascii="宋体" w:hAnsi="宋体" w:cs="宋体"/>
          <w:color w:val="auto"/>
          <w:highlight w:val="none"/>
        </w:rPr>
        <w:t>比选申请人的</w:t>
      </w:r>
      <w:r>
        <w:rPr>
          <w:rFonts w:hint="eastAsia" w:ascii="宋体" w:hAnsi="宋体" w:cs="宋体"/>
          <w:color w:val="auto"/>
          <w:highlight w:val="none"/>
          <w:lang w:eastAsia="zh-CN"/>
        </w:rPr>
        <w:t>响应</w:t>
      </w:r>
      <w:r>
        <w:rPr>
          <w:rFonts w:hint="eastAsia" w:ascii="宋体" w:hAnsi="宋体" w:cs="宋体"/>
          <w:color w:val="auto"/>
          <w:highlight w:val="none"/>
        </w:rPr>
        <w:t>报价</w:t>
      </w:r>
      <w:r>
        <w:rPr>
          <w:rFonts w:hint="eastAsia" w:ascii="宋体" w:hAnsi="宋体" w:cs="宋体"/>
          <w:color w:val="auto"/>
          <w:highlight w:val="none"/>
          <w:lang w:val="en-US" w:eastAsia="zh-CN"/>
        </w:rPr>
        <w:t>均</w:t>
      </w:r>
      <w:r>
        <w:rPr>
          <w:rFonts w:hint="eastAsia" w:ascii="宋体" w:hAnsi="宋体" w:cs="宋体"/>
          <w:color w:val="auto"/>
          <w:highlight w:val="none"/>
        </w:rPr>
        <w:t>不得超过</w:t>
      </w:r>
      <w:r>
        <w:rPr>
          <w:rFonts w:hint="eastAsia" w:ascii="宋体" w:hAnsi="宋体" w:cs="宋体"/>
          <w:color w:val="auto"/>
          <w:highlight w:val="none"/>
          <w:lang w:eastAsia="zh-CN"/>
        </w:rPr>
        <w:t>最高限价</w:t>
      </w:r>
      <w:r>
        <w:rPr>
          <w:rFonts w:hint="eastAsia" w:ascii="宋体" w:hAnsi="宋体" w:cs="宋体"/>
          <w:color w:val="auto"/>
          <w:highlight w:val="none"/>
        </w:rPr>
        <w:t>，否则作否决</w:t>
      </w:r>
      <w:r>
        <w:rPr>
          <w:rFonts w:hint="eastAsia" w:ascii="宋体" w:hAnsi="宋体" w:cs="宋体"/>
          <w:color w:val="auto"/>
          <w:highlight w:val="none"/>
          <w:lang w:eastAsia="zh-CN"/>
        </w:rPr>
        <w:t>竞选处理</w:t>
      </w:r>
      <w:r>
        <w:rPr>
          <w:rFonts w:hint="eastAsia" w:ascii="宋体" w:hAnsi="宋体" w:cs="宋体"/>
          <w:color w:val="auto"/>
          <w:highlight w:val="none"/>
        </w:rPr>
        <w:t>。</w:t>
      </w:r>
      <w:bookmarkEnd w:id="31"/>
      <w:r>
        <w:rPr>
          <w:rFonts w:hint="eastAsia" w:ascii="宋体" w:hAnsi="宋体" w:eastAsia="宋体" w:cs="宋体"/>
          <w:color w:val="auto"/>
          <w:kern w:val="2"/>
          <w:sz w:val="21"/>
          <w:szCs w:val="21"/>
          <w:highlight w:val="none"/>
          <w:lang w:val="en-US" w:eastAsia="zh-CN" w:bidi="ar-SA"/>
        </w:rPr>
        <w:t>分项</w:t>
      </w:r>
      <w:r>
        <w:rPr>
          <w:rFonts w:hint="eastAsia" w:cs="宋体"/>
          <w:color w:val="auto"/>
          <w:kern w:val="2"/>
          <w:sz w:val="21"/>
          <w:szCs w:val="21"/>
          <w:highlight w:val="none"/>
          <w:lang w:val="en-US" w:eastAsia="zh-CN" w:bidi="ar-SA"/>
        </w:rPr>
        <w:t>限价详见</w:t>
      </w:r>
      <w:r>
        <w:rPr>
          <w:rFonts w:hint="eastAsia" w:ascii="宋体" w:hAnsi="宋体" w:cs="宋体"/>
          <w:b w:val="0"/>
          <w:color w:val="auto"/>
          <w:sz w:val="21"/>
          <w:szCs w:val="21"/>
          <w:highlight w:val="none"/>
          <w:lang w:val="en-US" w:eastAsia="zh-CN"/>
        </w:rPr>
        <w:t>《附件：办公家具类采购清单》（第三次），</w:t>
      </w:r>
      <w:r>
        <w:rPr>
          <w:rFonts w:hint="eastAsia" w:ascii="宋体" w:hAnsi="宋体" w:cs="宋体"/>
          <w:color w:val="auto"/>
          <w:highlight w:val="none"/>
        </w:rPr>
        <w:t>比选申请人应根据本比选文件并结合自身实力和市场行情自主确定其</w:t>
      </w:r>
      <w:r>
        <w:rPr>
          <w:rFonts w:hint="eastAsia" w:ascii="宋体" w:hAnsi="宋体" w:cs="宋体"/>
          <w:color w:val="auto"/>
          <w:highlight w:val="none"/>
          <w:lang w:eastAsia="zh-CN"/>
        </w:rPr>
        <w:t>响应报价，</w:t>
      </w:r>
      <w:r>
        <w:rPr>
          <w:rFonts w:hint="eastAsia" w:ascii="宋体" w:hAnsi="宋体" w:cs="宋体"/>
          <w:color w:val="auto"/>
          <w:highlight w:val="none"/>
          <w:lang w:val="en-US" w:eastAsia="zh-CN"/>
        </w:rPr>
        <w:t>附件中数量为预估数量（最高采购数量），最终以实际采购数量据实结算。</w:t>
      </w:r>
    </w:p>
    <w:p>
      <w:pPr>
        <w:keepNext w:val="0"/>
        <w:keepLines w:val="0"/>
        <w:pageBreakBefore w:val="0"/>
        <w:widowControl w:val="0"/>
        <w:tabs>
          <w:tab w:val="left" w:pos="1800"/>
        </w:tabs>
        <w:kinsoku/>
        <w:wordWrap/>
        <w:overflowPunct/>
        <w:topLinePunct w:val="0"/>
        <w:autoSpaceDE/>
        <w:autoSpaceDN/>
        <w:bidi w:val="0"/>
        <w:adjustRightInd/>
        <w:spacing w:line="360" w:lineRule="auto"/>
        <w:ind w:firstLine="420" w:firstLineChars="200"/>
        <w:textAlignment w:val="auto"/>
        <w:outlineLvl w:val="1"/>
        <w:rPr>
          <w:rFonts w:hint="eastAsia" w:ascii="宋体" w:hAnsi="宋体" w:cs="宋体"/>
          <w:b/>
          <w:bCs/>
          <w:highlight w:val="none"/>
          <w:lang w:val="en-US" w:eastAsia="zh-CN"/>
        </w:rPr>
      </w:pPr>
      <w:bookmarkStart w:id="32" w:name="_Toc32425"/>
      <w:r>
        <w:rPr>
          <w:rFonts w:hint="eastAsia" w:ascii="宋体" w:hAnsi="宋体" w:eastAsia="宋体" w:cs="宋体"/>
          <w:color w:val="auto"/>
          <w:highlight w:val="none"/>
        </w:rPr>
        <w:t>2、</w:t>
      </w:r>
      <w:bookmarkEnd w:id="32"/>
      <w:bookmarkStart w:id="33" w:name="_Toc31674"/>
      <w:bookmarkStart w:id="34" w:name="_Toc344475121"/>
      <w:bookmarkStart w:id="35" w:name="_Toc403569791"/>
      <w:bookmarkStart w:id="36" w:name="_Toc24569666"/>
      <w:r>
        <w:rPr>
          <w:rFonts w:hint="eastAsia" w:ascii="宋体" w:hAnsi="宋体" w:cs="宋体"/>
          <w:highlight w:val="none"/>
        </w:rPr>
        <w:t>比选申请人必须按清单填报价格。家具</w:t>
      </w:r>
      <w:bookmarkStart w:id="37" w:name="OLE_LINK27"/>
      <w:r>
        <w:rPr>
          <w:rFonts w:hint="eastAsia" w:ascii="宋体" w:hAnsi="宋体" w:cs="宋体"/>
          <w:highlight w:val="none"/>
        </w:rPr>
        <w:t>名称</w:t>
      </w:r>
      <w:r>
        <w:rPr>
          <w:rFonts w:hint="eastAsia" w:ascii="宋体" w:hAnsi="宋体" w:cs="宋体"/>
          <w:highlight w:val="none"/>
          <w:lang w:val="en-US" w:eastAsia="zh-CN"/>
        </w:rPr>
        <w:t>、规格、制作工艺、材质等</w:t>
      </w:r>
      <w:r>
        <w:rPr>
          <w:rFonts w:hint="eastAsia" w:ascii="宋体" w:hAnsi="宋体" w:cs="宋体"/>
          <w:highlight w:val="none"/>
        </w:rPr>
        <w:t>必须与采购清单一致</w:t>
      </w:r>
      <w:bookmarkEnd w:id="37"/>
      <w:r>
        <w:rPr>
          <w:rFonts w:hint="eastAsia" w:ascii="宋体" w:hAnsi="宋体" w:cs="宋体"/>
          <w:highlight w:val="none"/>
        </w:rPr>
        <w:t>，</w:t>
      </w:r>
      <w:bookmarkStart w:id="38" w:name="OLE_LINK17"/>
      <w:r>
        <w:rPr>
          <w:rFonts w:hint="eastAsia" w:ascii="宋体" w:hAnsi="宋体" w:cs="宋体"/>
          <w:highlight w:val="none"/>
          <w:lang w:val="en-US" w:eastAsia="zh-CN"/>
        </w:rPr>
        <w:t>中选后</w:t>
      </w:r>
      <w:r>
        <w:rPr>
          <w:rFonts w:hint="eastAsia" w:cs="宋体"/>
          <w:kern w:val="2"/>
          <w:sz w:val="21"/>
          <w:szCs w:val="21"/>
          <w:highlight w:val="none"/>
          <w:lang w:val="en-US" w:eastAsia="zh-CN" w:bidi="ar-SA"/>
        </w:rPr>
        <w:t>提供的产品须与比选人现有家具款式、规格、材质等适配</w:t>
      </w:r>
      <w:r>
        <w:rPr>
          <w:rFonts w:hint="eastAsia" w:ascii="宋体" w:hAnsi="宋体" w:cs="宋体"/>
          <w:highlight w:val="none"/>
          <w:lang w:val="en-US" w:eastAsia="zh-CN"/>
        </w:rPr>
        <w:t>，尺寸差距不得大于5%（若与采购清单要求尺寸有出入，必须在《比选响应函附录》中注明），</w:t>
      </w:r>
      <w:r>
        <w:rPr>
          <w:rFonts w:hint="eastAsia" w:ascii="宋体" w:hAnsi="宋体" w:cs="宋体"/>
          <w:b/>
          <w:bCs/>
          <w:highlight w:val="none"/>
          <w:lang w:val="en-US" w:eastAsia="zh-CN"/>
        </w:rPr>
        <w:t>比选申请人所提供家具样图须彩色打印，图片清晰</w:t>
      </w:r>
      <w:bookmarkEnd w:id="38"/>
      <w:r>
        <w:rPr>
          <w:rFonts w:hint="eastAsia" w:ascii="宋体" w:hAnsi="宋体" w:cs="宋体"/>
          <w:b/>
          <w:bCs/>
          <w:highlight w:val="none"/>
          <w:lang w:val="en-US" w:eastAsia="zh-CN"/>
        </w:rPr>
        <w:t>，家居风格须与采购清单参照式样图片相近或类似。</w:t>
      </w:r>
    </w:p>
    <w:p>
      <w:pPr>
        <w:keepNext w:val="0"/>
        <w:keepLines w:val="0"/>
        <w:pageBreakBefore w:val="0"/>
        <w:widowControl w:val="0"/>
        <w:tabs>
          <w:tab w:val="left" w:pos="1800"/>
        </w:tabs>
        <w:kinsoku/>
        <w:wordWrap/>
        <w:overflowPunct/>
        <w:topLinePunct w:val="0"/>
        <w:autoSpaceDE/>
        <w:autoSpaceDN/>
        <w:bidi w:val="0"/>
        <w:adjustRightInd/>
        <w:spacing w:line="360" w:lineRule="auto"/>
        <w:ind w:firstLine="422" w:firstLineChars="200"/>
        <w:textAlignment w:val="auto"/>
        <w:outlineLvl w:val="1"/>
        <w:rPr>
          <w:rFonts w:hint="eastAsia" w:ascii="宋体" w:hAnsi="宋体" w:eastAsia="宋体" w:cs="宋体"/>
          <w:color w:val="auto"/>
          <w:highlight w:val="none"/>
        </w:rPr>
      </w:pPr>
      <w:r>
        <w:rPr>
          <w:rFonts w:hint="eastAsia" w:ascii="宋体" w:hAnsi="宋体" w:cs="宋体"/>
          <w:b/>
          <w:bCs/>
          <w:highlight w:val="none"/>
          <w:lang w:val="en-US" w:eastAsia="zh-CN"/>
        </w:rPr>
        <w:t>3、</w:t>
      </w:r>
      <w:r>
        <w:rPr>
          <w:rFonts w:hint="eastAsia" w:ascii="宋体" w:hAnsi="宋体" w:eastAsia="宋体" w:cs="宋体"/>
          <w:color w:val="auto"/>
          <w:highlight w:val="none"/>
        </w:rPr>
        <w:t>本项目为人民币报价，报价</w:t>
      </w:r>
      <w:r>
        <w:rPr>
          <w:rFonts w:hint="eastAsia" w:ascii="宋体" w:hAnsi="宋体" w:eastAsia="宋体" w:cs="宋体"/>
          <w:color w:val="auto"/>
          <w:highlight w:val="none"/>
          <w:lang w:eastAsia="zh-CN"/>
        </w:rPr>
        <w:t>包括</w:t>
      </w:r>
      <w:r>
        <w:rPr>
          <w:rFonts w:hint="eastAsia" w:ascii="宋体" w:hAnsi="宋体" w:eastAsia="宋体" w:cs="宋体"/>
          <w:color w:val="auto"/>
          <w:highlight w:val="none"/>
        </w:rPr>
        <w:t>但不限于</w:t>
      </w:r>
      <w:r>
        <w:rPr>
          <w:rFonts w:hint="eastAsia" w:ascii="宋体" w:hAnsi="宋体" w:eastAsia="宋体" w:cs="宋体"/>
          <w:color w:val="auto"/>
          <w:highlight w:val="none"/>
          <w:lang w:eastAsia="zh-CN"/>
        </w:rPr>
        <w:t>货物费、包装费、运输费、装卸费、安装调试费、</w:t>
      </w:r>
      <w:r>
        <w:rPr>
          <w:rFonts w:hint="eastAsia" w:ascii="宋体" w:hAnsi="宋体" w:eastAsia="宋体" w:cs="宋体"/>
          <w:color w:val="auto"/>
          <w:highlight w:val="none"/>
        </w:rPr>
        <w:t>人工</w:t>
      </w:r>
      <w:r>
        <w:rPr>
          <w:rFonts w:hint="eastAsia" w:ascii="宋体" w:hAnsi="宋体" w:eastAsia="宋体" w:cs="宋体"/>
          <w:color w:val="auto"/>
          <w:highlight w:val="none"/>
          <w:lang w:eastAsia="zh-CN"/>
        </w:rPr>
        <w:t>费</w:t>
      </w:r>
      <w:r>
        <w:rPr>
          <w:rFonts w:hint="eastAsia" w:ascii="宋体" w:hAnsi="宋体" w:eastAsia="宋体" w:cs="宋体"/>
          <w:color w:val="auto"/>
          <w:highlight w:val="none"/>
        </w:rPr>
        <w:t>、税费、质保期</w:t>
      </w:r>
      <w:r>
        <w:rPr>
          <w:rFonts w:hint="eastAsia" w:ascii="宋体" w:hAnsi="宋体" w:eastAsia="宋体" w:cs="宋体"/>
          <w:color w:val="auto"/>
          <w:highlight w:val="none"/>
          <w:lang w:eastAsia="zh-CN"/>
        </w:rPr>
        <w:t>内</w:t>
      </w:r>
      <w:r>
        <w:rPr>
          <w:rFonts w:hint="eastAsia" w:ascii="宋体" w:hAnsi="宋体" w:eastAsia="宋体" w:cs="宋体"/>
          <w:color w:val="auto"/>
          <w:highlight w:val="none"/>
        </w:rPr>
        <w:t>服务费、</w:t>
      </w:r>
      <w:r>
        <w:rPr>
          <w:rFonts w:hint="eastAsia" w:ascii="宋体" w:hAnsi="宋体" w:eastAsia="宋体" w:cs="宋体"/>
          <w:color w:val="auto"/>
          <w:highlight w:val="none"/>
          <w:lang w:val="en-US" w:eastAsia="zh-CN"/>
        </w:rPr>
        <w:t>运维保障服务费</w:t>
      </w:r>
      <w:r>
        <w:rPr>
          <w:rFonts w:hint="eastAsia" w:ascii="宋体" w:hAnsi="宋体" w:eastAsia="宋体" w:cs="宋体"/>
          <w:color w:val="auto"/>
          <w:highlight w:val="none"/>
        </w:rPr>
        <w:t>等</w:t>
      </w:r>
      <w:r>
        <w:rPr>
          <w:rFonts w:hint="eastAsia" w:ascii="宋体" w:hAnsi="宋体" w:eastAsia="宋体" w:cs="宋体"/>
          <w:color w:val="auto"/>
          <w:highlight w:val="none"/>
          <w:lang w:eastAsia="zh-CN"/>
        </w:rPr>
        <w:t>本项目</w:t>
      </w:r>
      <w:r>
        <w:rPr>
          <w:rFonts w:hint="eastAsia" w:ascii="宋体" w:hAnsi="宋体" w:eastAsia="宋体" w:cs="宋体"/>
          <w:color w:val="auto"/>
          <w:highlight w:val="none"/>
        </w:rPr>
        <w:t>所有费用。</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须充分对项目进行评估，如因</w:t>
      </w:r>
      <w:r>
        <w:rPr>
          <w:rFonts w:hint="eastAsia" w:ascii="宋体" w:hAnsi="宋体" w:eastAsia="宋体" w:cs="宋体"/>
          <w:color w:val="auto"/>
          <w:highlight w:val="none"/>
          <w:lang w:eastAsia="zh-CN"/>
        </w:rPr>
        <w:t>单位</w:t>
      </w:r>
      <w:r>
        <w:rPr>
          <w:rFonts w:hint="eastAsia" w:ascii="宋体" w:hAnsi="宋体" w:eastAsia="宋体" w:cs="宋体"/>
          <w:color w:val="auto"/>
          <w:highlight w:val="none"/>
        </w:rPr>
        <w:t>自身原因造成漏报、少报皆由</w:t>
      </w:r>
      <w:r>
        <w:rPr>
          <w:rFonts w:hint="eastAsia" w:ascii="宋体" w:hAnsi="宋体" w:eastAsia="宋体" w:cs="宋体"/>
          <w:color w:val="auto"/>
          <w:highlight w:val="none"/>
          <w:lang w:val="en-US" w:eastAsia="zh-CN"/>
        </w:rPr>
        <w:t>比选申请人</w:t>
      </w:r>
      <w:r>
        <w:rPr>
          <w:rFonts w:hint="eastAsia" w:ascii="宋体" w:hAnsi="宋体" w:eastAsia="宋体" w:cs="宋体"/>
          <w:color w:val="auto"/>
          <w:highlight w:val="none"/>
        </w:rPr>
        <w:t>自行承担责任，</w:t>
      </w:r>
      <w:r>
        <w:rPr>
          <w:rFonts w:hint="eastAsia" w:ascii="宋体" w:hAnsi="宋体" w:eastAsia="宋体" w:cs="宋体"/>
          <w:color w:val="auto"/>
          <w:highlight w:val="none"/>
          <w:lang w:eastAsia="zh-CN"/>
        </w:rPr>
        <w:t>比选人</w:t>
      </w:r>
      <w:r>
        <w:rPr>
          <w:rFonts w:hint="eastAsia" w:ascii="宋体" w:hAnsi="宋体" w:eastAsia="宋体" w:cs="宋体"/>
          <w:color w:val="auto"/>
          <w:highlight w:val="none"/>
        </w:rPr>
        <w:t>不再支付额外费用。</w:t>
      </w:r>
    </w:p>
    <w:bookmarkEnd w:id="33"/>
    <w:bookmarkEnd w:id="34"/>
    <w:bookmarkEnd w:id="35"/>
    <w:bookmarkEnd w:id="36"/>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lang w:val="en-US" w:eastAsia="zh-CN"/>
        </w:rPr>
        <w:t>注：（1）</w:t>
      </w:r>
      <w:r>
        <w:rPr>
          <w:rFonts w:asciiTheme="minorEastAsia" w:hAnsiTheme="minorEastAsia" w:eastAsiaTheme="minorEastAsia" w:cstheme="minorEastAsia"/>
          <w:b/>
          <w:bCs/>
          <w:color w:val="auto"/>
          <w:sz w:val="21"/>
          <w:szCs w:val="21"/>
          <w:highlight w:val="none"/>
          <w:shd w:val="clear" w:color="auto" w:fill="auto"/>
        </w:rPr>
        <w:t>因本项目特殊，要求获取</w:t>
      </w:r>
      <w:r>
        <w:rPr>
          <w:rFonts w:hint="eastAsia" w:asciiTheme="minorEastAsia" w:hAnsiTheme="minorEastAsia" w:eastAsiaTheme="minorEastAsia" w:cstheme="minorEastAsia"/>
          <w:b/>
          <w:bCs/>
          <w:color w:val="auto"/>
          <w:sz w:val="21"/>
          <w:szCs w:val="21"/>
          <w:highlight w:val="none"/>
          <w:shd w:val="clear" w:color="auto" w:fill="auto"/>
          <w:lang w:val="en-US" w:eastAsia="zh-CN"/>
        </w:rPr>
        <w:t>竞争性比选</w:t>
      </w:r>
      <w:r>
        <w:rPr>
          <w:rFonts w:asciiTheme="minorEastAsia" w:hAnsiTheme="minorEastAsia" w:eastAsiaTheme="minorEastAsia" w:cstheme="minorEastAsia"/>
          <w:b/>
          <w:bCs/>
          <w:color w:val="auto"/>
          <w:sz w:val="21"/>
          <w:szCs w:val="21"/>
          <w:highlight w:val="none"/>
          <w:shd w:val="clear" w:color="auto" w:fill="auto"/>
        </w:rPr>
        <w:t>文件的所有</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比选申请人</w:t>
      </w:r>
      <w:r>
        <w:rPr>
          <w:rFonts w:asciiTheme="minorEastAsia" w:hAnsiTheme="minorEastAsia" w:eastAsiaTheme="minorEastAsia" w:cstheme="minorEastAsia"/>
          <w:b/>
          <w:bCs/>
          <w:color w:val="auto"/>
          <w:sz w:val="21"/>
          <w:szCs w:val="21"/>
          <w:highlight w:val="none"/>
          <w:shd w:val="clear" w:color="auto" w:fill="auto"/>
        </w:rPr>
        <w:t>必须参与现场踏勘，获取由</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w:t>
      </w:r>
      <w:r>
        <w:rPr>
          <w:rFonts w:asciiTheme="minorEastAsia" w:hAnsiTheme="minorEastAsia" w:eastAsiaTheme="minorEastAsia" w:cstheme="minorEastAsia"/>
          <w:b/>
          <w:bCs/>
          <w:color w:val="auto"/>
          <w:sz w:val="21"/>
          <w:szCs w:val="21"/>
          <w:highlight w:val="none"/>
          <w:shd w:val="clear" w:color="auto" w:fill="auto"/>
        </w:rPr>
        <w:t>人出具的现场踏勘证明文件，在</w:t>
      </w:r>
      <w:r>
        <w:rPr>
          <w:rFonts w:hint="eastAsia" w:asciiTheme="minorEastAsia" w:hAnsiTheme="minorEastAsia" w:eastAsiaTheme="minorEastAsia" w:cstheme="minorEastAsia"/>
          <w:b/>
          <w:bCs/>
          <w:color w:val="auto"/>
          <w:sz w:val="21"/>
          <w:szCs w:val="21"/>
          <w:highlight w:val="none"/>
          <w:shd w:val="clear" w:color="auto" w:fill="auto"/>
          <w:lang w:val="en-US" w:eastAsia="zh-CN"/>
        </w:rPr>
        <w:t>递交响应文件</w:t>
      </w:r>
      <w:r>
        <w:rPr>
          <w:rFonts w:asciiTheme="minorEastAsia" w:hAnsiTheme="minorEastAsia" w:eastAsiaTheme="minorEastAsia" w:cstheme="minorEastAsia"/>
          <w:b/>
          <w:bCs/>
          <w:color w:val="auto"/>
          <w:sz w:val="21"/>
          <w:szCs w:val="21"/>
          <w:highlight w:val="none"/>
          <w:shd w:val="clear" w:color="auto" w:fill="auto"/>
        </w:rPr>
        <w:t>时一并递交代理</w:t>
      </w:r>
      <w:r>
        <w:rPr>
          <w:rFonts w:hint="eastAsia" w:asciiTheme="minorEastAsia" w:hAnsiTheme="minorEastAsia" w:eastAsiaTheme="minorEastAsia" w:cstheme="minorEastAsia"/>
          <w:b/>
          <w:bCs/>
          <w:color w:val="auto"/>
          <w:sz w:val="21"/>
          <w:szCs w:val="21"/>
          <w:highlight w:val="none"/>
          <w:shd w:val="clear" w:color="auto" w:fill="auto"/>
          <w:lang w:val="en-US" w:eastAsia="zh-CN"/>
        </w:rPr>
        <w:t>机构</w:t>
      </w:r>
      <w:r>
        <w:rPr>
          <w:rFonts w:asciiTheme="minorEastAsia" w:hAnsiTheme="minorEastAsia" w:eastAsiaTheme="minorEastAsia" w:cstheme="minorEastAsia"/>
          <w:b/>
          <w:bCs/>
          <w:color w:val="auto"/>
          <w:sz w:val="21"/>
          <w:szCs w:val="21"/>
          <w:highlight w:val="none"/>
          <w:shd w:val="clear" w:color="auto" w:fill="auto"/>
        </w:rPr>
        <w:t>，否则，其</w:t>
      </w:r>
      <w:r>
        <w:rPr>
          <w:rFonts w:hint="eastAsia" w:asciiTheme="minorEastAsia" w:hAnsiTheme="minorEastAsia" w:eastAsiaTheme="minorEastAsia" w:cstheme="minorEastAsia"/>
          <w:b/>
          <w:bCs/>
          <w:color w:val="auto"/>
          <w:sz w:val="21"/>
          <w:szCs w:val="21"/>
          <w:highlight w:val="none"/>
          <w:shd w:val="clear" w:color="auto" w:fill="auto"/>
          <w:lang w:val="en-US" w:eastAsia="zh-CN"/>
        </w:rPr>
        <w:t>响应文件</w:t>
      </w:r>
      <w:r>
        <w:rPr>
          <w:rFonts w:asciiTheme="minorEastAsia" w:hAnsiTheme="minorEastAsia" w:eastAsiaTheme="minorEastAsia" w:cstheme="minorEastAsia"/>
          <w:b/>
          <w:bCs/>
          <w:color w:val="auto"/>
          <w:sz w:val="21"/>
          <w:szCs w:val="21"/>
          <w:highlight w:val="none"/>
          <w:shd w:val="clear" w:color="auto" w:fill="auto"/>
        </w:rPr>
        <w:t>不予接受。</w:t>
      </w:r>
    </w:p>
    <w:p>
      <w:pPr>
        <w:keepNext w:val="0"/>
        <w:keepLines w:val="0"/>
        <w:pageBreakBefore w:val="0"/>
        <w:widowControl w:val="0"/>
        <w:kinsoku/>
        <w:wordWrap/>
        <w:overflowPunct/>
        <w:topLinePunct w:val="0"/>
        <w:autoSpaceDE/>
        <w:autoSpaceDN/>
        <w:bidi w:val="0"/>
        <w:adjustRightInd/>
        <w:snapToGrid w:val="0"/>
        <w:spacing w:line="360" w:lineRule="auto"/>
        <w:ind w:firstLine="420"/>
        <w:textAlignment w:val="auto"/>
        <w:rPr>
          <w:rFonts w:asciiTheme="minorEastAsia" w:hAnsiTheme="minorEastAsia" w:eastAsiaTheme="minorEastAsia" w:cstheme="minorEastAsia"/>
          <w:b/>
          <w:bCs/>
          <w:color w:val="auto"/>
          <w:sz w:val="21"/>
          <w:szCs w:val="21"/>
          <w:highlight w:val="none"/>
          <w:shd w:val="clear" w:color="auto" w:fill="auto"/>
        </w:rPr>
      </w:pPr>
      <w:r>
        <w:rPr>
          <w:rFonts w:hint="eastAsia" w:asciiTheme="minorEastAsia" w:hAnsiTheme="minorEastAsia" w:eastAsiaTheme="minorEastAsia" w:cstheme="minorEastAsia"/>
          <w:b/>
          <w:bCs/>
          <w:color w:val="auto"/>
          <w:sz w:val="21"/>
          <w:szCs w:val="21"/>
          <w:highlight w:val="none"/>
          <w:shd w:val="clear" w:color="auto" w:fill="auto"/>
          <w:lang w:val="en-US" w:eastAsia="zh-CN"/>
        </w:rPr>
        <w:t>（2）踏勘时间：</w:t>
      </w:r>
      <w:r>
        <w:rPr>
          <w:rFonts w:asciiTheme="minorEastAsia" w:hAnsiTheme="minorEastAsia" w:eastAsiaTheme="minorEastAsia" w:cstheme="minorEastAsia"/>
          <w:b/>
          <w:bCs/>
          <w:color w:val="auto"/>
          <w:sz w:val="21"/>
          <w:szCs w:val="21"/>
          <w:highlight w:val="none"/>
          <w:shd w:val="clear" w:color="auto" w:fill="auto"/>
        </w:rPr>
        <w:t>202</w:t>
      </w:r>
      <w:r>
        <w:rPr>
          <w:rFonts w:hint="default" w:asciiTheme="minorEastAsia" w:hAnsiTheme="minorEastAsia" w:eastAsiaTheme="minorEastAsia" w:cstheme="minorEastAsia"/>
          <w:b/>
          <w:bCs/>
          <w:color w:val="auto"/>
          <w:sz w:val="21"/>
          <w:szCs w:val="21"/>
          <w:highlight w:val="none"/>
          <w:shd w:val="clear" w:color="auto" w:fill="auto"/>
          <w:lang w:val="en-US" w:eastAsia="zh-CN"/>
        </w:rPr>
        <w:t>5</w:t>
      </w:r>
      <w:r>
        <w:rPr>
          <w:rFonts w:asciiTheme="minorEastAsia" w:hAnsiTheme="minorEastAsia" w:eastAsiaTheme="minorEastAsia" w:cstheme="minorEastAsia"/>
          <w:b/>
          <w:bCs/>
          <w:color w:val="auto"/>
          <w:sz w:val="21"/>
          <w:szCs w:val="21"/>
          <w:highlight w:val="none"/>
          <w:shd w:val="clear" w:color="auto" w:fill="auto"/>
        </w:rPr>
        <w:t>年</w:t>
      </w:r>
      <w:r>
        <w:rPr>
          <w:rFonts w:hint="eastAsia" w:asciiTheme="minorEastAsia" w:hAnsiTheme="minorEastAsia" w:eastAsiaTheme="minorEastAsia" w:cstheme="minorEastAsia"/>
          <w:b/>
          <w:bCs/>
          <w:color w:val="auto"/>
          <w:sz w:val="21"/>
          <w:szCs w:val="21"/>
          <w:highlight w:val="none"/>
          <w:shd w:val="clear" w:color="auto" w:fill="auto"/>
          <w:lang w:val="en-US" w:eastAsia="zh-CN"/>
        </w:rPr>
        <w:t>12</w:t>
      </w:r>
      <w:r>
        <w:rPr>
          <w:rFonts w:asciiTheme="minorEastAsia" w:hAnsiTheme="minorEastAsia" w:eastAsiaTheme="minorEastAsia" w:cstheme="minorEastAsia"/>
          <w:b/>
          <w:bCs/>
          <w:color w:val="auto"/>
          <w:sz w:val="21"/>
          <w:szCs w:val="21"/>
          <w:highlight w:val="none"/>
          <w:shd w:val="clear" w:color="auto" w:fill="auto"/>
        </w:rPr>
        <w:t>月</w:t>
      </w:r>
      <w:r>
        <w:rPr>
          <w:rFonts w:hint="eastAsia" w:asciiTheme="minorEastAsia" w:hAnsiTheme="minorEastAsia" w:eastAsiaTheme="minorEastAsia" w:cstheme="minorEastAsia"/>
          <w:b/>
          <w:bCs/>
          <w:color w:val="auto"/>
          <w:sz w:val="21"/>
          <w:szCs w:val="21"/>
          <w:highlight w:val="none"/>
          <w:shd w:val="clear" w:color="auto" w:fill="auto"/>
          <w:lang w:val="en-US" w:eastAsia="zh-CN"/>
        </w:rPr>
        <w:t>24</w:t>
      </w:r>
      <w:r>
        <w:rPr>
          <w:rFonts w:asciiTheme="minorEastAsia" w:hAnsiTheme="minorEastAsia" w:eastAsiaTheme="minorEastAsia" w:cstheme="minorEastAsia"/>
          <w:b/>
          <w:bCs/>
          <w:color w:val="auto"/>
          <w:sz w:val="21"/>
          <w:szCs w:val="21"/>
          <w:highlight w:val="none"/>
          <w:shd w:val="clear" w:color="auto" w:fill="auto"/>
        </w:rPr>
        <w:t>日-202</w:t>
      </w:r>
      <w:r>
        <w:rPr>
          <w:rFonts w:hint="default" w:asciiTheme="minorEastAsia" w:hAnsiTheme="minorEastAsia" w:eastAsiaTheme="minorEastAsia" w:cstheme="minorEastAsia"/>
          <w:b/>
          <w:bCs/>
          <w:color w:val="auto"/>
          <w:sz w:val="21"/>
          <w:szCs w:val="21"/>
          <w:highlight w:val="none"/>
          <w:shd w:val="clear" w:color="auto" w:fill="auto"/>
          <w:lang w:val="en-US" w:eastAsia="zh-CN"/>
        </w:rPr>
        <w:t>5</w:t>
      </w:r>
      <w:r>
        <w:rPr>
          <w:rFonts w:asciiTheme="minorEastAsia" w:hAnsiTheme="minorEastAsia" w:eastAsiaTheme="minorEastAsia" w:cstheme="minorEastAsia"/>
          <w:b/>
          <w:bCs/>
          <w:color w:val="auto"/>
          <w:sz w:val="21"/>
          <w:szCs w:val="21"/>
          <w:highlight w:val="none"/>
          <w:shd w:val="clear" w:color="auto" w:fill="auto"/>
        </w:rPr>
        <w:t>年</w:t>
      </w:r>
      <w:r>
        <w:rPr>
          <w:rFonts w:hint="eastAsia" w:asciiTheme="minorEastAsia" w:hAnsiTheme="minorEastAsia" w:eastAsiaTheme="minorEastAsia" w:cstheme="minorEastAsia"/>
          <w:b/>
          <w:bCs/>
          <w:color w:val="auto"/>
          <w:sz w:val="21"/>
          <w:szCs w:val="21"/>
          <w:highlight w:val="none"/>
          <w:shd w:val="clear" w:color="auto" w:fill="auto"/>
          <w:lang w:val="en-US" w:eastAsia="zh-CN"/>
        </w:rPr>
        <w:t>12月29</w:t>
      </w:r>
      <w:r>
        <w:rPr>
          <w:rFonts w:asciiTheme="minorEastAsia" w:hAnsiTheme="minorEastAsia" w:eastAsiaTheme="minorEastAsia" w:cstheme="minorEastAsia"/>
          <w:b/>
          <w:bCs/>
          <w:color w:val="auto"/>
          <w:sz w:val="21"/>
          <w:szCs w:val="21"/>
          <w:highlight w:val="none"/>
          <w:shd w:val="clear" w:color="auto" w:fill="auto"/>
        </w:rPr>
        <w:t>日期间，时间段为：10:00至16:00</w:t>
      </w:r>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asciiTheme="minorEastAsia" w:hAnsiTheme="minorEastAsia" w:eastAsiaTheme="minorEastAsia" w:cstheme="minorEastAsia"/>
          <w:b/>
          <w:bCs/>
          <w:color w:val="auto"/>
          <w:sz w:val="21"/>
          <w:szCs w:val="21"/>
          <w:highlight w:val="none"/>
          <w:shd w:val="clear" w:color="auto" w:fill="auto"/>
        </w:rPr>
        <w:t>踏勘现场人员需提供本单位加盖鲜章的营业执照</w:t>
      </w:r>
      <w:r>
        <w:rPr>
          <w:rFonts w:hint="eastAsia" w:asciiTheme="minorEastAsia" w:hAnsiTheme="minorEastAsia" w:eastAsiaTheme="minorEastAsia" w:cstheme="minorEastAsia"/>
          <w:b/>
          <w:bCs/>
          <w:color w:val="auto"/>
          <w:sz w:val="21"/>
          <w:szCs w:val="21"/>
          <w:highlight w:val="none"/>
          <w:shd w:val="clear" w:color="auto" w:fill="auto"/>
          <w:lang w:val="en-US" w:eastAsia="zh-CN"/>
        </w:rPr>
        <w:t>复印件</w:t>
      </w:r>
      <w:r>
        <w:rPr>
          <w:rFonts w:asciiTheme="minorEastAsia" w:hAnsiTheme="minorEastAsia" w:eastAsiaTheme="minorEastAsia" w:cstheme="minorEastAsia"/>
          <w:b/>
          <w:bCs/>
          <w:color w:val="auto"/>
          <w:sz w:val="21"/>
          <w:szCs w:val="21"/>
          <w:highlight w:val="none"/>
          <w:shd w:val="clear" w:color="auto" w:fill="auto"/>
        </w:rPr>
        <w:t>及介绍信；根据现场和环境因素对本项目的风险和义务进行充分了解，并领取《现场踏勘证明》，踏勘现场所发生的费用由</w:t>
      </w:r>
      <w:r>
        <w:rPr>
          <w:rFonts w:hint="eastAsia" w:asciiTheme="minorEastAsia" w:hAnsiTheme="minorEastAsia" w:eastAsiaTheme="minorEastAsia" w:cstheme="minorEastAsia"/>
          <w:b/>
          <w:bCs/>
          <w:color w:val="auto"/>
          <w:sz w:val="21"/>
          <w:szCs w:val="21"/>
          <w:highlight w:val="none"/>
          <w:shd w:val="clear" w:color="auto" w:fill="auto"/>
          <w:lang w:val="en-US" w:eastAsia="zh-CN"/>
        </w:rPr>
        <w:t>比选申请</w:t>
      </w:r>
      <w:r>
        <w:rPr>
          <w:rFonts w:asciiTheme="minorEastAsia" w:hAnsiTheme="minorEastAsia" w:eastAsiaTheme="minorEastAsia" w:cstheme="minorEastAsia"/>
          <w:b/>
          <w:bCs/>
          <w:color w:val="auto"/>
          <w:sz w:val="21"/>
          <w:szCs w:val="21"/>
          <w:highlight w:val="none"/>
          <w:shd w:val="clear" w:color="auto" w:fill="auto"/>
        </w:rPr>
        <w:t>人自行承担。</w:t>
      </w:r>
    </w:p>
    <w:p>
      <w:pPr>
        <w:keepNext w:val="0"/>
        <w:keepLines w:val="0"/>
        <w:pageBreakBefore w:val="0"/>
        <w:widowControl w:val="0"/>
        <w:tabs>
          <w:tab w:val="left" w:pos="1800"/>
        </w:tabs>
        <w:kinsoku/>
        <w:wordWrap/>
        <w:overflowPunct/>
        <w:topLinePunct w:val="0"/>
        <w:autoSpaceDE/>
        <w:autoSpaceDN/>
        <w:bidi w:val="0"/>
        <w:adjustRightInd/>
        <w:snapToGrid/>
        <w:spacing w:line="360" w:lineRule="auto"/>
        <w:ind w:right="0" w:rightChars="0" w:firstLine="422" w:firstLineChars="200"/>
        <w:textAlignment w:val="auto"/>
        <w:outlineLvl w:val="1"/>
        <w:rPr>
          <w:rFonts w:hint="eastAsia" w:ascii="宋体" w:hAnsi="宋体" w:cs="宋体"/>
          <w:b/>
          <w:bCs/>
          <w:color w:val="auto"/>
          <w:highlight w:val="none"/>
        </w:rPr>
      </w:pPr>
      <w:bookmarkStart w:id="39" w:name="_Toc27754"/>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hint="eastAsia" w:asciiTheme="minorEastAsia" w:hAnsiTheme="minorEastAsia" w:eastAsiaTheme="minorEastAsia" w:cstheme="minorEastAsia"/>
          <w:b/>
          <w:bCs/>
          <w:color w:val="auto"/>
          <w:sz w:val="21"/>
          <w:szCs w:val="21"/>
          <w:highlight w:val="none"/>
          <w:shd w:val="clear" w:color="auto" w:fill="auto"/>
          <w:lang w:val="en-US" w:eastAsia="zh-CN"/>
        </w:rPr>
        <w:t>3</w:t>
      </w:r>
      <w:r>
        <w:rPr>
          <w:rFonts w:hint="eastAsia" w:asciiTheme="minorEastAsia" w:hAnsiTheme="minorEastAsia" w:eastAsiaTheme="minorEastAsia" w:cstheme="minorEastAsia"/>
          <w:b/>
          <w:bCs/>
          <w:color w:val="auto"/>
          <w:sz w:val="21"/>
          <w:szCs w:val="21"/>
          <w:highlight w:val="none"/>
          <w:shd w:val="clear" w:color="auto" w:fill="auto"/>
          <w:lang w:eastAsia="zh-CN"/>
        </w:rPr>
        <w:t>）</w:t>
      </w:r>
      <w:r>
        <w:rPr>
          <w:rFonts w:asciiTheme="minorEastAsia" w:hAnsiTheme="minorEastAsia" w:eastAsiaTheme="minorEastAsia" w:cstheme="minorEastAsia"/>
          <w:b/>
          <w:bCs/>
          <w:color w:val="auto"/>
          <w:sz w:val="21"/>
          <w:szCs w:val="21"/>
          <w:highlight w:val="none"/>
          <w:shd w:val="clear" w:color="auto" w:fill="auto"/>
        </w:rPr>
        <w:t>每单位踏勘现场人员不超过3人，在规定时间内现场勘查，超过时间后不接受</w:t>
      </w:r>
      <w:r>
        <w:rPr>
          <w:rFonts w:hint="eastAsia" w:asciiTheme="minorEastAsia" w:hAnsiTheme="minorEastAsia" w:eastAsiaTheme="minorEastAsia" w:cstheme="minorEastAsia"/>
          <w:b/>
          <w:bCs/>
          <w:color w:val="auto"/>
          <w:sz w:val="21"/>
          <w:szCs w:val="21"/>
          <w:highlight w:val="none"/>
          <w:shd w:val="clear" w:color="auto" w:fill="auto"/>
          <w:lang w:val="en-US" w:eastAsia="zh-CN"/>
        </w:rPr>
        <w:t>勘查</w:t>
      </w:r>
      <w:r>
        <w:rPr>
          <w:rFonts w:asciiTheme="minorEastAsia" w:hAnsiTheme="minorEastAsia" w:eastAsiaTheme="minorEastAsia" w:cstheme="minorEastAsia"/>
          <w:b/>
          <w:bCs/>
          <w:color w:val="auto"/>
          <w:sz w:val="21"/>
          <w:szCs w:val="21"/>
          <w:highlight w:val="none"/>
          <w:shd w:val="clear" w:color="auto" w:fill="auto"/>
        </w:rPr>
        <w:t>。</w:t>
      </w:r>
      <w:bookmarkEnd w:id="39"/>
      <w:r>
        <w:rPr>
          <w:rFonts w:asciiTheme="minorEastAsia" w:hAnsiTheme="minorEastAsia" w:eastAsiaTheme="minorEastAsia" w:cstheme="minorEastAsia"/>
          <w:b/>
          <w:bCs/>
          <w:color w:val="auto"/>
          <w:sz w:val="21"/>
          <w:szCs w:val="21"/>
          <w:highlight w:val="none"/>
          <w:shd w:val="clear" w:color="auto" w:fill="auto"/>
        </w:rPr>
        <w:t>联系人：</w:t>
      </w:r>
      <w:r>
        <w:rPr>
          <w:rFonts w:hint="eastAsia" w:asciiTheme="minorEastAsia" w:hAnsiTheme="minorEastAsia" w:eastAsiaTheme="minorEastAsia" w:cstheme="minorEastAsia"/>
          <w:b/>
          <w:bCs/>
          <w:color w:val="auto"/>
          <w:sz w:val="21"/>
          <w:szCs w:val="21"/>
          <w:highlight w:val="none"/>
          <w:shd w:val="clear" w:color="auto" w:fill="auto"/>
          <w:lang w:val="en-US" w:eastAsia="zh-CN"/>
        </w:rPr>
        <w:t>夏老师，联系电话：18723032221。</w:t>
      </w:r>
    </w:p>
    <w:p>
      <w:pPr>
        <w:keepNext w:val="0"/>
        <w:keepLines w:val="0"/>
        <w:pageBreakBefore w:val="0"/>
        <w:widowControl w:val="0"/>
        <w:kinsoku/>
        <w:wordWrap/>
        <w:overflowPunct/>
        <w:topLinePunct w:val="0"/>
        <w:autoSpaceDE/>
        <w:autoSpaceDN/>
        <w:bidi w:val="0"/>
        <w:adjustRightInd/>
        <w:snapToGrid/>
        <w:spacing w:line="400" w:lineRule="exact"/>
        <w:ind w:left="0" w:firstLine="422" w:firstLineChars="200"/>
        <w:jc w:val="left"/>
        <w:textAlignment w:val="auto"/>
        <w:rPr>
          <w:rFonts w:hint="default" w:ascii="仿宋" w:hAnsi="仿宋" w:cs="仿宋"/>
          <w:color w:val="auto"/>
          <w:szCs w:val="24"/>
          <w:highlight w:val="none"/>
          <w:lang w:val="en-US"/>
        </w:rPr>
      </w:pPr>
      <w:r>
        <w:rPr>
          <w:rFonts w:hint="eastAsia" w:ascii="宋体" w:hAnsi="宋体" w:cs="宋体"/>
          <w:b/>
          <w:bCs/>
          <w:color w:val="auto"/>
          <w:highlight w:val="none"/>
        </w:rPr>
        <w:t>（二）</w:t>
      </w:r>
      <w:r>
        <w:rPr>
          <w:rFonts w:hint="eastAsia" w:ascii="宋体" w:hAnsi="宋体" w:cs="宋体"/>
          <w:b/>
          <w:bCs/>
          <w:color w:val="auto"/>
          <w:highlight w:val="none"/>
          <w:lang w:eastAsia="zh-CN"/>
        </w:rPr>
        <w:t>响应保证金：</w:t>
      </w:r>
      <w:r>
        <w:rPr>
          <w:rFonts w:hint="eastAsia" w:ascii="宋体" w:hAnsi="宋体" w:cs="宋体"/>
          <w:b/>
          <w:bCs/>
          <w:color w:val="auto"/>
          <w:highlight w:val="none"/>
          <w:lang w:val="en-US" w:eastAsia="zh-CN"/>
        </w:rPr>
        <w:t>无。</w:t>
      </w:r>
    </w:p>
    <w:p>
      <w:pPr>
        <w:spacing w:line="400" w:lineRule="exact"/>
        <w:ind w:firstLine="422" w:firstLineChars="200"/>
        <w:rPr>
          <w:rFonts w:ascii="宋体" w:hAnsi="宋体" w:cs="宋体"/>
          <w:color w:val="auto"/>
          <w:highlight w:val="none"/>
        </w:rPr>
      </w:pPr>
      <w:r>
        <w:rPr>
          <w:rFonts w:hint="eastAsia" w:ascii="宋体" w:hAnsi="宋体" w:cs="宋体"/>
          <w:b/>
          <w:bCs/>
          <w:color w:val="auto"/>
          <w:highlight w:val="none"/>
          <w:lang w:eastAsia="zh-CN"/>
        </w:rPr>
        <w:t>（三）</w:t>
      </w:r>
      <w:r>
        <w:rPr>
          <w:rFonts w:hint="eastAsia" w:ascii="宋体" w:hAnsi="宋体" w:cs="宋体"/>
          <w:b/>
          <w:bCs/>
          <w:color w:val="auto"/>
          <w:highlight w:val="none"/>
        </w:rPr>
        <w:t>评审办法：综合评估法。</w:t>
      </w:r>
    </w:p>
    <w:p>
      <w:pPr>
        <w:spacing w:line="400" w:lineRule="exact"/>
        <w:ind w:firstLine="422" w:firstLineChars="200"/>
        <w:outlineLvl w:val="1"/>
        <w:rPr>
          <w:rFonts w:ascii="宋体"/>
          <w:color w:val="auto"/>
          <w:highlight w:val="none"/>
        </w:rPr>
      </w:pPr>
      <w:bookmarkStart w:id="40" w:name="_Toc15901"/>
      <w:bookmarkStart w:id="41" w:name="_Toc10726"/>
      <w:bookmarkStart w:id="42" w:name="_Toc30064"/>
      <w:r>
        <w:rPr>
          <w:rFonts w:hint="eastAsia" w:ascii="宋体" w:hAnsi="宋体" w:cs="宋体"/>
          <w:b/>
          <w:bCs/>
          <w:color w:val="auto"/>
          <w:highlight w:val="none"/>
          <w:lang w:eastAsia="zh-CN"/>
        </w:rPr>
        <w:t>五</w:t>
      </w:r>
      <w:r>
        <w:rPr>
          <w:rFonts w:hint="eastAsia" w:ascii="宋体" w:hAnsi="宋体" w:cs="宋体"/>
          <w:b/>
          <w:bCs/>
          <w:color w:val="auto"/>
          <w:highlight w:val="none"/>
        </w:rPr>
        <w:t>、比选有效期：</w:t>
      </w:r>
      <w:r>
        <w:rPr>
          <w:rFonts w:ascii="宋体" w:hAnsi="宋体" w:cs="宋体"/>
          <w:color w:val="auto"/>
          <w:highlight w:val="none"/>
          <w:u w:val="single"/>
        </w:rPr>
        <w:t>90</w:t>
      </w:r>
      <w:r>
        <w:rPr>
          <w:rFonts w:hint="eastAsia" w:ascii="宋体" w:hAnsi="宋体" w:cs="宋体"/>
          <w:color w:val="auto"/>
          <w:highlight w:val="none"/>
        </w:rPr>
        <w:t>日历天（从提交</w:t>
      </w:r>
      <w:r>
        <w:rPr>
          <w:rFonts w:hint="eastAsia" w:ascii="宋体" w:hAnsi="宋体" w:cs="宋体"/>
          <w:color w:val="auto"/>
          <w:highlight w:val="none"/>
          <w:lang w:eastAsia="zh-CN"/>
        </w:rPr>
        <w:t>响应文件</w:t>
      </w:r>
      <w:r>
        <w:rPr>
          <w:rFonts w:hint="eastAsia" w:ascii="宋体" w:hAnsi="宋体" w:cs="宋体"/>
          <w:color w:val="auto"/>
          <w:highlight w:val="none"/>
        </w:rPr>
        <w:t>截止日起计算）</w:t>
      </w:r>
      <w:bookmarkEnd w:id="40"/>
      <w:bookmarkEnd w:id="41"/>
      <w:bookmarkEnd w:id="42"/>
    </w:p>
    <w:p>
      <w:pPr>
        <w:tabs>
          <w:tab w:val="left" w:pos="1080"/>
        </w:tabs>
        <w:spacing w:line="400" w:lineRule="exact"/>
        <w:ind w:firstLine="422" w:firstLineChars="200"/>
        <w:outlineLvl w:val="1"/>
        <w:rPr>
          <w:rFonts w:hint="eastAsia" w:ascii="宋体" w:hAnsi="宋体" w:cs="宋体"/>
          <w:b w:val="0"/>
          <w:bCs w:val="0"/>
          <w:color w:val="auto"/>
          <w:highlight w:val="none"/>
        </w:rPr>
      </w:pPr>
      <w:bookmarkStart w:id="43" w:name="_Toc28569"/>
      <w:bookmarkStart w:id="44" w:name="_Toc4731"/>
      <w:bookmarkStart w:id="45" w:name="_Toc28422"/>
      <w:r>
        <w:rPr>
          <w:rFonts w:hint="eastAsia" w:ascii="宋体" w:hAnsi="宋体" w:cs="宋体"/>
          <w:b/>
          <w:bCs/>
          <w:color w:val="auto"/>
          <w:highlight w:val="none"/>
          <w:lang w:eastAsia="zh-CN"/>
        </w:rPr>
        <w:t>六</w:t>
      </w:r>
      <w:r>
        <w:rPr>
          <w:rFonts w:hint="eastAsia" w:ascii="宋体" w:hAnsi="宋体" w:cs="宋体"/>
          <w:b/>
          <w:bCs/>
          <w:color w:val="auto"/>
          <w:highlight w:val="none"/>
        </w:rPr>
        <w:t>、结算方式：</w:t>
      </w:r>
      <w:bookmarkEnd w:id="43"/>
      <w:bookmarkEnd w:id="44"/>
      <w:bookmarkEnd w:id="45"/>
    </w:p>
    <w:p>
      <w:pPr>
        <w:spacing w:line="400" w:lineRule="exact"/>
        <w:ind w:firstLine="420" w:firstLineChars="200"/>
        <w:rPr>
          <w:rFonts w:hint="eastAsia" w:ascii="宋体" w:hAnsi="宋体" w:cs="宋体"/>
          <w:color w:val="auto"/>
          <w:highlight w:val="none"/>
          <w:lang w:val="en-US" w:eastAsia="zh-CN"/>
        </w:rPr>
      </w:pPr>
      <w:bookmarkStart w:id="46" w:name="_Toc17820"/>
      <w:r>
        <w:rPr>
          <w:rFonts w:hint="eastAsia" w:ascii="宋体" w:hAnsi="宋体" w:cs="宋体"/>
          <w:color w:val="auto"/>
          <w:highlight w:val="none"/>
          <w:lang w:val="en-US" w:eastAsia="zh-CN"/>
        </w:rPr>
        <w:t>详见合同条条款。</w:t>
      </w:r>
    </w:p>
    <w:p>
      <w:pPr>
        <w:spacing w:line="400" w:lineRule="exact"/>
        <w:ind w:firstLine="422" w:firstLineChars="200"/>
        <w:rPr>
          <w:rFonts w:ascii="宋体" w:hAnsi="宋体" w:cs="宋体"/>
          <w:color w:val="auto"/>
          <w:highlight w:val="none"/>
        </w:rPr>
      </w:pPr>
      <w:r>
        <w:rPr>
          <w:rFonts w:hint="eastAsia" w:ascii="宋体" w:hAnsi="宋体" w:cs="宋体"/>
          <w:b/>
          <w:bCs/>
          <w:color w:val="auto"/>
          <w:highlight w:val="none"/>
          <w:lang w:eastAsia="zh-CN"/>
        </w:rPr>
        <w:t>七</w:t>
      </w:r>
      <w:r>
        <w:rPr>
          <w:rFonts w:hint="eastAsia" w:ascii="宋体" w:hAnsi="宋体" w:cs="宋体"/>
          <w:b/>
          <w:bCs/>
          <w:color w:val="auto"/>
          <w:highlight w:val="none"/>
        </w:rPr>
        <w:t>、</w:t>
      </w:r>
      <w:bookmarkEnd w:id="46"/>
      <w:bookmarkStart w:id="47" w:name="_Toc12568"/>
      <w:bookmarkStart w:id="48" w:name="_Toc17630"/>
      <w:bookmarkStart w:id="49" w:name="_Toc15441"/>
      <w:r>
        <w:rPr>
          <w:rFonts w:hint="eastAsia" w:ascii="宋体" w:hAnsi="宋体" w:cs="宋体"/>
          <w:b/>
          <w:bCs/>
          <w:color w:val="auto"/>
          <w:highlight w:val="none"/>
          <w:lang w:eastAsia="zh-CN"/>
        </w:rPr>
        <w:t>响应文件</w:t>
      </w:r>
      <w:r>
        <w:rPr>
          <w:rFonts w:hint="eastAsia" w:ascii="宋体" w:hAnsi="宋体" w:cs="宋体"/>
          <w:b/>
          <w:bCs/>
          <w:color w:val="auto"/>
          <w:highlight w:val="none"/>
        </w:rPr>
        <w:t>的组成：</w:t>
      </w:r>
      <w:bookmarkEnd w:id="47"/>
      <w:bookmarkEnd w:id="48"/>
      <w:bookmarkEnd w:id="49"/>
      <w:r>
        <w:rPr>
          <w:rFonts w:hint="eastAsia" w:ascii="宋体"/>
          <w:b/>
          <w:bCs/>
          <w:color w:val="auto"/>
          <w:highlight w:val="none"/>
          <w:lang w:eastAsia="zh-CN"/>
        </w:rPr>
        <w:t>详见“第</w:t>
      </w:r>
      <w:r>
        <w:rPr>
          <w:rFonts w:hint="eastAsia" w:ascii="宋体"/>
          <w:b/>
          <w:bCs/>
          <w:color w:val="auto"/>
          <w:highlight w:val="none"/>
          <w:lang w:val="en-US" w:eastAsia="zh-CN"/>
        </w:rPr>
        <w:t>四</w:t>
      </w:r>
      <w:r>
        <w:rPr>
          <w:rFonts w:hint="eastAsia" w:ascii="宋体"/>
          <w:b/>
          <w:bCs/>
          <w:color w:val="auto"/>
          <w:highlight w:val="none"/>
          <w:lang w:eastAsia="zh-CN"/>
        </w:rPr>
        <w:t>部分</w:t>
      </w:r>
      <w:r>
        <w:rPr>
          <w:rFonts w:hint="eastAsia" w:ascii="宋体"/>
          <w:b/>
          <w:bCs/>
          <w:color w:val="auto"/>
          <w:highlight w:val="none"/>
          <w:lang w:val="en-US" w:eastAsia="zh-CN"/>
        </w:rPr>
        <w:t xml:space="preserve">  </w:t>
      </w:r>
      <w:r>
        <w:rPr>
          <w:rFonts w:hint="eastAsia" w:ascii="宋体"/>
          <w:b/>
          <w:bCs/>
          <w:color w:val="auto"/>
          <w:highlight w:val="none"/>
          <w:lang w:eastAsia="zh-CN"/>
        </w:rPr>
        <w:t>响应文件格式”</w:t>
      </w:r>
      <w:r>
        <w:rPr>
          <w:rFonts w:hint="eastAsia" w:ascii="宋体" w:hAnsi="宋体" w:cs="宋体"/>
          <w:color w:val="auto"/>
          <w:highlight w:val="none"/>
        </w:rPr>
        <w:t>。</w:t>
      </w:r>
    </w:p>
    <w:p>
      <w:pPr>
        <w:pStyle w:val="13"/>
        <w:spacing w:line="400" w:lineRule="exact"/>
        <w:ind w:firstLine="420" w:firstLineChars="200"/>
        <w:rPr>
          <w:color w:val="auto"/>
          <w:sz w:val="21"/>
          <w:szCs w:val="21"/>
          <w:highlight w:val="none"/>
        </w:rPr>
      </w:pPr>
      <w:r>
        <w:rPr>
          <w:rFonts w:hint="eastAsia"/>
          <w:color w:val="auto"/>
          <w:sz w:val="21"/>
          <w:szCs w:val="21"/>
          <w:highlight w:val="none"/>
        </w:rPr>
        <w:t>注意：</w:t>
      </w:r>
      <w:r>
        <w:rPr>
          <w:rFonts w:hint="eastAsia"/>
          <w:color w:val="auto"/>
          <w:sz w:val="21"/>
          <w:szCs w:val="21"/>
          <w:highlight w:val="none"/>
          <w:lang w:eastAsia="zh-CN"/>
        </w:rPr>
        <w:t>比选申请人所提供响应文件中的资料</w:t>
      </w:r>
      <w:r>
        <w:rPr>
          <w:rFonts w:hint="eastAsia"/>
          <w:color w:val="auto"/>
          <w:sz w:val="21"/>
          <w:szCs w:val="21"/>
          <w:highlight w:val="none"/>
        </w:rPr>
        <w:t>应</w:t>
      </w:r>
      <w:r>
        <w:rPr>
          <w:rFonts w:hint="eastAsia"/>
          <w:color w:val="auto"/>
          <w:sz w:val="21"/>
          <w:szCs w:val="21"/>
          <w:highlight w:val="none"/>
          <w:lang w:val="en-US" w:eastAsia="zh-CN"/>
        </w:rPr>
        <w:t>按比选文件规定</w:t>
      </w:r>
      <w:r>
        <w:rPr>
          <w:rFonts w:hint="eastAsia"/>
          <w:color w:val="auto"/>
          <w:sz w:val="21"/>
          <w:szCs w:val="21"/>
          <w:highlight w:val="none"/>
        </w:rPr>
        <w:t>加盖</w:t>
      </w:r>
      <w:r>
        <w:rPr>
          <w:rFonts w:hint="eastAsia"/>
          <w:color w:val="auto"/>
          <w:sz w:val="21"/>
          <w:szCs w:val="21"/>
          <w:highlight w:val="none"/>
          <w:lang w:eastAsia="zh-CN"/>
        </w:rPr>
        <w:t>比选申请人</w:t>
      </w:r>
      <w:r>
        <w:rPr>
          <w:rFonts w:hint="eastAsia"/>
          <w:color w:val="auto"/>
          <w:sz w:val="21"/>
          <w:szCs w:val="21"/>
          <w:highlight w:val="none"/>
        </w:rPr>
        <w:t>单位公章。</w:t>
      </w:r>
      <w:r>
        <w:rPr>
          <w:rFonts w:hint="eastAsia"/>
          <w:color w:val="auto"/>
          <w:sz w:val="21"/>
          <w:szCs w:val="21"/>
          <w:highlight w:val="none"/>
          <w:lang w:eastAsia="zh-CN"/>
        </w:rPr>
        <w:t>响应文件</w:t>
      </w:r>
      <w:r>
        <w:rPr>
          <w:rFonts w:hint="eastAsia"/>
          <w:color w:val="auto"/>
          <w:sz w:val="21"/>
          <w:szCs w:val="21"/>
          <w:highlight w:val="none"/>
        </w:rPr>
        <w:t>应按照第</w:t>
      </w:r>
      <w:r>
        <w:rPr>
          <w:rFonts w:hint="eastAsia"/>
          <w:color w:val="auto"/>
          <w:sz w:val="21"/>
          <w:szCs w:val="21"/>
          <w:highlight w:val="none"/>
          <w:lang w:val="en-US" w:eastAsia="zh-CN"/>
        </w:rPr>
        <w:t>四</w:t>
      </w:r>
      <w:r>
        <w:rPr>
          <w:rFonts w:hint="eastAsia"/>
          <w:color w:val="auto"/>
          <w:sz w:val="21"/>
          <w:szCs w:val="21"/>
          <w:highlight w:val="none"/>
        </w:rPr>
        <w:t>部分规定格式装订成册，并应编制目录及页码。</w:t>
      </w:r>
      <w:r>
        <w:rPr>
          <w:rFonts w:hint="eastAsia"/>
          <w:color w:val="auto"/>
          <w:sz w:val="21"/>
          <w:szCs w:val="21"/>
          <w:highlight w:val="none"/>
          <w:lang w:eastAsia="zh-CN"/>
        </w:rPr>
        <w:t>响应文件</w:t>
      </w:r>
      <w:r>
        <w:rPr>
          <w:rFonts w:hint="eastAsia"/>
          <w:color w:val="auto"/>
          <w:sz w:val="21"/>
          <w:szCs w:val="21"/>
          <w:highlight w:val="none"/>
        </w:rPr>
        <w:t>应提交正本1份</w:t>
      </w:r>
      <w:r>
        <w:rPr>
          <w:rFonts w:hint="eastAsia"/>
          <w:color w:val="auto"/>
          <w:sz w:val="21"/>
          <w:szCs w:val="21"/>
          <w:highlight w:val="none"/>
          <w:lang w:eastAsia="zh-CN"/>
        </w:rPr>
        <w:t>、</w:t>
      </w:r>
      <w:r>
        <w:rPr>
          <w:rFonts w:hint="eastAsia"/>
          <w:color w:val="auto"/>
          <w:sz w:val="21"/>
          <w:szCs w:val="21"/>
          <w:highlight w:val="none"/>
        </w:rPr>
        <w:t>副本1份，电子版形式</w:t>
      </w:r>
      <w:r>
        <w:rPr>
          <w:rFonts w:hint="eastAsia"/>
          <w:color w:val="auto"/>
          <w:sz w:val="21"/>
          <w:szCs w:val="21"/>
          <w:highlight w:val="none"/>
          <w:lang w:eastAsia="zh-CN"/>
        </w:rPr>
        <w:t>（</w:t>
      </w:r>
      <w:r>
        <w:rPr>
          <w:rFonts w:hint="eastAsia"/>
          <w:color w:val="auto"/>
          <w:sz w:val="21"/>
          <w:szCs w:val="21"/>
          <w:highlight w:val="none"/>
          <w:lang w:val="en-US" w:eastAsia="zh-CN"/>
        </w:rPr>
        <w:t>如有</w:t>
      </w:r>
      <w:r>
        <w:rPr>
          <w:rFonts w:hint="eastAsia"/>
          <w:color w:val="auto"/>
          <w:sz w:val="21"/>
          <w:szCs w:val="21"/>
          <w:highlight w:val="none"/>
          <w:lang w:eastAsia="zh-CN"/>
        </w:rPr>
        <w:t>）</w:t>
      </w:r>
      <w:r>
        <w:rPr>
          <w:rFonts w:hint="eastAsia"/>
          <w:color w:val="auto"/>
          <w:sz w:val="21"/>
          <w:szCs w:val="21"/>
          <w:highlight w:val="none"/>
        </w:rPr>
        <w:t>与纸质</w:t>
      </w:r>
      <w:r>
        <w:rPr>
          <w:rFonts w:hint="eastAsia"/>
          <w:color w:val="auto"/>
          <w:sz w:val="21"/>
          <w:szCs w:val="21"/>
          <w:highlight w:val="none"/>
          <w:lang w:eastAsia="zh-CN"/>
        </w:rPr>
        <w:t>响应文件</w:t>
      </w:r>
      <w:r>
        <w:rPr>
          <w:rFonts w:hint="eastAsia"/>
          <w:color w:val="auto"/>
          <w:sz w:val="21"/>
          <w:szCs w:val="21"/>
          <w:highlight w:val="none"/>
        </w:rPr>
        <w:t>不一致时，以纸质版</w:t>
      </w:r>
      <w:r>
        <w:rPr>
          <w:rFonts w:hint="eastAsia"/>
          <w:color w:val="auto"/>
          <w:sz w:val="21"/>
          <w:szCs w:val="21"/>
          <w:highlight w:val="none"/>
          <w:lang w:eastAsia="zh-CN"/>
        </w:rPr>
        <w:t>响应文件</w:t>
      </w:r>
      <w:r>
        <w:rPr>
          <w:rFonts w:hint="eastAsia"/>
          <w:color w:val="auto"/>
          <w:sz w:val="21"/>
          <w:szCs w:val="21"/>
          <w:highlight w:val="none"/>
        </w:rPr>
        <w:t>正本为准。正本、副本、电子版</w:t>
      </w:r>
      <w:r>
        <w:rPr>
          <w:rFonts w:hint="eastAsia"/>
          <w:color w:val="auto"/>
          <w:sz w:val="21"/>
          <w:szCs w:val="21"/>
          <w:highlight w:val="none"/>
          <w:lang w:eastAsia="zh-CN"/>
        </w:rPr>
        <w:t>（</w:t>
      </w:r>
      <w:r>
        <w:rPr>
          <w:rFonts w:hint="eastAsia"/>
          <w:color w:val="auto"/>
          <w:sz w:val="21"/>
          <w:szCs w:val="21"/>
          <w:highlight w:val="none"/>
          <w:lang w:val="en-US" w:eastAsia="zh-CN"/>
        </w:rPr>
        <w:t>如有</w:t>
      </w:r>
      <w:r>
        <w:rPr>
          <w:rFonts w:hint="eastAsia"/>
          <w:color w:val="auto"/>
          <w:sz w:val="21"/>
          <w:szCs w:val="21"/>
          <w:highlight w:val="none"/>
          <w:lang w:eastAsia="zh-CN"/>
        </w:rPr>
        <w:t>）</w:t>
      </w:r>
      <w:r>
        <w:rPr>
          <w:rFonts w:hint="eastAsia"/>
          <w:color w:val="auto"/>
          <w:sz w:val="21"/>
          <w:szCs w:val="21"/>
          <w:highlight w:val="none"/>
        </w:rPr>
        <w:t>密封在一个大袋中</w:t>
      </w:r>
      <w:r>
        <w:rPr>
          <w:rFonts w:hint="eastAsia"/>
          <w:color w:val="auto"/>
          <w:sz w:val="21"/>
          <w:szCs w:val="21"/>
          <w:highlight w:val="none"/>
          <w:lang w:eastAsia="zh-CN"/>
        </w:rPr>
        <w:t>（若一个大袋密封不下，可自行</w:t>
      </w:r>
      <w:r>
        <w:rPr>
          <w:rFonts w:hint="eastAsia"/>
          <w:color w:val="auto"/>
          <w:sz w:val="21"/>
          <w:szCs w:val="21"/>
          <w:highlight w:val="none"/>
          <w:lang w:val="en-US" w:eastAsia="zh-CN"/>
        </w:rPr>
        <w:t>采用</w:t>
      </w:r>
      <w:r>
        <w:rPr>
          <w:rFonts w:hint="eastAsia"/>
          <w:color w:val="auto"/>
          <w:sz w:val="21"/>
          <w:szCs w:val="21"/>
          <w:highlight w:val="none"/>
          <w:lang w:eastAsia="zh-CN"/>
        </w:rPr>
        <w:t>多个密封袋封装）</w:t>
      </w:r>
      <w:r>
        <w:rPr>
          <w:rFonts w:hint="eastAsia"/>
          <w:color w:val="auto"/>
          <w:sz w:val="21"/>
          <w:szCs w:val="21"/>
          <w:highlight w:val="none"/>
        </w:rPr>
        <w:t>，须保证</w:t>
      </w:r>
      <w:r>
        <w:rPr>
          <w:rFonts w:hint="eastAsia"/>
          <w:color w:val="auto"/>
          <w:sz w:val="21"/>
          <w:szCs w:val="21"/>
          <w:highlight w:val="none"/>
          <w:lang w:eastAsia="zh-CN"/>
        </w:rPr>
        <w:t>响应文件</w:t>
      </w:r>
      <w:r>
        <w:rPr>
          <w:rFonts w:hint="eastAsia"/>
          <w:color w:val="auto"/>
          <w:sz w:val="21"/>
          <w:szCs w:val="21"/>
          <w:highlight w:val="none"/>
        </w:rPr>
        <w:t>密封完好并在大袋上加盖比选申请人单位公章，否则，比选人对由于</w:t>
      </w:r>
      <w:r>
        <w:rPr>
          <w:rFonts w:hint="eastAsia"/>
          <w:color w:val="auto"/>
          <w:sz w:val="21"/>
          <w:szCs w:val="21"/>
          <w:highlight w:val="none"/>
          <w:lang w:eastAsia="zh-CN"/>
        </w:rPr>
        <w:t>响应文件</w:t>
      </w:r>
      <w:r>
        <w:rPr>
          <w:rFonts w:hint="eastAsia"/>
          <w:color w:val="auto"/>
          <w:sz w:val="21"/>
          <w:szCs w:val="21"/>
          <w:highlight w:val="none"/>
        </w:rPr>
        <w:t>装订松散而造成的丢失或其他后果不承担任何责任。未按规定密封的</w:t>
      </w:r>
      <w:r>
        <w:rPr>
          <w:rFonts w:hint="eastAsia"/>
          <w:color w:val="auto"/>
          <w:sz w:val="21"/>
          <w:szCs w:val="21"/>
          <w:highlight w:val="none"/>
          <w:lang w:eastAsia="zh-CN"/>
        </w:rPr>
        <w:t>响应文件</w:t>
      </w:r>
      <w:r>
        <w:rPr>
          <w:rFonts w:hint="eastAsia"/>
          <w:color w:val="auto"/>
          <w:sz w:val="21"/>
          <w:szCs w:val="21"/>
          <w:highlight w:val="none"/>
        </w:rPr>
        <w:t>将被拒收。</w:t>
      </w:r>
    </w:p>
    <w:p>
      <w:pPr>
        <w:tabs>
          <w:tab w:val="left" w:pos="1080"/>
        </w:tabs>
        <w:spacing w:line="400" w:lineRule="exact"/>
        <w:ind w:firstLine="422" w:firstLineChars="200"/>
        <w:outlineLvl w:val="1"/>
        <w:rPr>
          <w:rFonts w:ascii="宋体"/>
          <w:b/>
          <w:bCs/>
          <w:color w:val="auto"/>
          <w:highlight w:val="none"/>
        </w:rPr>
      </w:pPr>
      <w:bookmarkStart w:id="50" w:name="_Toc24413"/>
      <w:bookmarkStart w:id="51" w:name="_Toc24452"/>
      <w:bookmarkStart w:id="52" w:name="_Toc23620"/>
      <w:r>
        <w:rPr>
          <w:rFonts w:hint="eastAsia" w:ascii="宋体" w:hAnsi="宋体" w:cs="宋体"/>
          <w:b/>
          <w:bCs/>
          <w:color w:val="auto"/>
          <w:highlight w:val="none"/>
          <w:lang w:eastAsia="zh-CN"/>
        </w:rPr>
        <w:t>八</w:t>
      </w:r>
      <w:r>
        <w:rPr>
          <w:rFonts w:hint="eastAsia" w:ascii="宋体" w:hAnsi="宋体" w:cs="宋体"/>
          <w:b/>
          <w:bCs/>
          <w:color w:val="auto"/>
          <w:highlight w:val="none"/>
        </w:rPr>
        <w:t>、比选原则：</w:t>
      </w:r>
      <w:bookmarkEnd w:id="50"/>
      <w:bookmarkEnd w:id="51"/>
      <w:bookmarkEnd w:id="52"/>
    </w:p>
    <w:p>
      <w:pPr>
        <w:spacing w:line="400" w:lineRule="exact"/>
        <w:ind w:firstLine="422" w:firstLineChars="200"/>
        <w:rPr>
          <w:rFonts w:ascii="宋体"/>
          <w:color w:val="auto"/>
          <w:highlight w:val="none"/>
        </w:rPr>
      </w:pPr>
      <w:bookmarkStart w:id="53" w:name="_Toc12789069"/>
      <w:bookmarkStart w:id="54" w:name="_Toc256249129"/>
      <w:r>
        <w:rPr>
          <w:rFonts w:hint="eastAsia" w:ascii="宋体" w:hAnsi="宋体" w:cs="宋体"/>
          <w:b/>
          <w:bCs/>
          <w:color w:val="auto"/>
          <w:highlight w:val="none"/>
        </w:rPr>
        <w:t>评审原则：综合评估法。</w:t>
      </w:r>
    </w:p>
    <w:tbl>
      <w:tblPr>
        <w:tblStyle w:val="11"/>
        <w:tblW w:w="97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7"/>
        <w:gridCol w:w="1153"/>
        <w:gridCol w:w="1481"/>
        <w:gridCol w:w="63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1990" w:type="dxa"/>
            <w:gridSpan w:val="2"/>
            <w:tcBorders>
              <w:top w:val="single" w:color="000000" w:sz="8" w:space="0"/>
            </w:tcBorders>
            <w:noWrap w:val="0"/>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条款号</w:t>
            </w:r>
          </w:p>
        </w:tc>
        <w:tc>
          <w:tcPr>
            <w:tcW w:w="1481" w:type="dxa"/>
            <w:tcBorders>
              <w:top w:val="single" w:color="000000" w:sz="8" w:space="0"/>
            </w:tcBorders>
            <w:noWrap w:val="0"/>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评审因素</w:t>
            </w:r>
          </w:p>
        </w:tc>
        <w:tc>
          <w:tcPr>
            <w:tcW w:w="6328" w:type="dxa"/>
            <w:tcBorders>
              <w:top w:val="single" w:color="000000" w:sz="8" w:space="0"/>
            </w:tcBorders>
            <w:noWrap w:val="0"/>
            <w:vAlign w:val="center"/>
          </w:tcPr>
          <w:p>
            <w:pPr>
              <w:spacing w:line="360" w:lineRule="exact"/>
              <w:jc w:val="center"/>
              <w:rPr>
                <w:rFonts w:ascii="宋体"/>
                <w:b/>
                <w:bCs/>
                <w:color w:val="auto"/>
                <w:kern w:val="0"/>
                <w:highlight w:val="none"/>
              </w:rPr>
            </w:pPr>
            <w:r>
              <w:rPr>
                <w:rFonts w:hint="eastAsia" w:ascii="宋体" w:hAnsi="宋体" w:cs="宋体"/>
                <w:b/>
                <w:bCs/>
                <w:color w:val="auto"/>
                <w:kern w:val="0"/>
                <w:highlight w:val="none"/>
              </w:rPr>
              <w:t>评审标准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990" w:type="dxa"/>
            <w:gridSpan w:val="2"/>
            <w:noWrap w:val="0"/>
            <w:vAlign w:val="center"/>
          </w:tcPr>
          <w:p>
            <w:pPr>
              <w:spacing w:line="360" w:lineRule="exact"/>
              <w:jc w:val="center"/>
              <w:rPr>
                <w:rFonts w:ascii="宋体"/>
                <w:color w:val="auto"/>
                <w:kern w:val="0"/>
                <w:highlight w:val="none"/>
              </w:rPr>
            </w:pPr>
            <w:r>
              <w:rPr>
                <w:rFonts w:ascii="宋体" w:hAnsi="宋体" w:cs="宋体"/>
                <w:color w:val="auto"/>
                <w:kern w:val="0"/>
                <w:highlight w:val="none"/>
              </w:rPr>
              <w:t>1</w:t>
            </w:r>
          </w:p>
        </w:tc>
        <w:tc>
          <w:tcPr>
            <w:tcW w:w="1481" w:type="dxa"/>
            <w:noWrap w:val="0"/>
            <w:vAlign w:val="center"/>
          </w:tcPr>
          <w:p>
            <w:pPr>
              <w:spacing w:line="360" w:lineRule="exact"/>
              <w:jc w:val="center"/>
              <w:rPr>
                <w:rFonts w:ascii="宋体"/>
                <w:color w:val="auto"/>
                <w:kern w:val="0"/>
                <w:highlight w:val="none"/>
              </w:rPr>
            </w:pPr>
            <w:r>
              <w:rPr>
                <w:rFonts w:hint="eastAsia" w:ascii="宋体" w:hAnsi="宋体" w:cs="宋体"/>
                <w:color w:val="auto"/>
                <w:kern w:val="0"/>
                <w:highlight w:val="none"/>
              </w:rPr>
              <w:t>评</w:t>
            </w:r>
            <w:r>
              <w:rPr>
                <w:rFonts w:hint="eastAsia" w:ascii="宋体" w:hAnsi="宋体" w:cs="宋体"/>
                <w:color w:val="auto"/>
                <w:kern w:val="0"/>
                <w:highlight w:val="none"/>
                <w:lang w:eastAsia="zh-CN"/>
              </w:rPr>
              <w:t>审</w:t>
            </w:r>
            <w:r>
              <w:rPr>
                <w:rFonts w:hint="eastAsia" w:ascii="宋体" w:hAnsi="宋体" w:cs="宋体"/>
                <w:color w:val="auto"/>
                <w:kern w:val="0"/>
                <w:highlight w:val="none"/>
              </w:rPr>
              <w:t>办法</w:t>
            </w:r>
          </w:p>
        </w:tc>
        <w:tc>
          <w:tcPr>
            <w:tcW w:w="6328" w:type="dxa"/>
            <w:noWrap w:val="0"/>
            <w:vAlign w:val="center"/>
          </w:tcPr>
          <w:p>
            <w:pPr>
              <w:spacing w:line="360" w:lineRule="exact"/>
              <w:ind w:firstLine="420" w:firstLineChars="200"/>
              <w:jc w:val="left"/>
              <w:rPr>
                <w:rFonts w:hint="eastAsia" w:ascii="Times New Roman" w:hAnsi="Times New Roman" w:eastAsia="宋体" w:cs="Times New Roman"/>
                <w:color w:val="auto"/>
                <w:highlight w:val="none"/>
              </w:rPr>
            </w:pPr>
            <w:r>
              <w:rPr>
                <w:rFonts w:hint="eastAsia"/>
                <w:color w:val="auto"/>
                <w:highlight w:val="none"/>
              </w:rPr>
              <w:t>本项目评审采用综合评估法，评审委员会对通过初步评审（2.1.1、2.1.2、2.1.3）的比选</w:t>
            </w:r>
            <w:r>
              <w:rPr>
                <w:rFonts w:hint="eastAsia" w:ascii="Times New Roman" w:hAnsi="Times New Roman" w:eastAsia="宋体" w:cs="Times New Roman"/>
                <w:color w:val="auto"/>
                <w:highlight w:val="none"/>
              </w:rPr>
              <w:t>申请人按照本章规定的评分标准进行打分，并按</w:t>
            </w:r>
            <w:r>
              <w:rPr>
                <w:rFonts w:hint="eastAsia" w:ascii="Times New Roman" w:hAnsi="Times New Roman" w:eastAsia="宋体" w:cs="Times New Roman"/>
                <w:color w:val="auto"/>
                <w:highlight w:val="none"/>
                <w:lang w:eastAsia="zh-CN"/>
              </w:rPr>
              <w:t>综合</w:t>
            </w:r>
            <w:r>
              <w:rPr>
                <w:rFonts w:hint="eastAsia" w:ascii="Times New Roman" w:hAnsi="Times New Roman" w:eastAsia="宋体" w:cs="Times New Roman"/>
                <w:color w:val="auto"/>
                <w:highlight w:val="none"/>
              </w:rPr>
              <w:t>得分由高到低顺序推荐中选候选人，如出现综合得分相等时，评</w:t>
            </w:r>
            <w:r>
              <w:rPr>
                <w:rFonts w:hint="eastAsia" w:ascii="Times New Roman" w:hAnsi="Times New Roman" w:eastAsia="宋体" w:cs="Times New Roman"/>
                <w:color w:val="auto"/>
                <w:highlight w:val="none"/>
                <w:lang w:eastAsia="zh-CN"/>
              </w:rPr>
              <w:t>审</w:t>
            </w:r>
            <w:r>
              <w:rPr>
                <w:rFonts w:hint="eastAsia" w:ascii="Times New Roman" w:hAnsi="Times New Roman" w:eastAsia="宋体" w:cs="Times New Roman"/>
                <w:color w:val="auto"/>
                <w:highlight w:val="none"/>
              </w:rPr>
              <w:t>委员会按以下原则确定第一中选候选人：</w:t>
            </w:r>
          </w:p>
          <w:p>
            <w:pPr>
              <w:spacing w:line="360" w:lineRule="exact"/>
              <w:ind w:firstLine="420" w:firstLineChars="200"/>
              <w:jc w:val="left"/>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（1）如综合得分相同时，以报价得分高的优先；</w:t>
            </w:r>
          </w:p>
          <w:p>
            <w:pPr>
              <w:spacing w:line="360" w:lineRule="exact"/>
              <w:ind w:firstLine="420" w:firstLineChars="20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rPr>
              <w:t>（2）如报价得分也相同时</w:t>
            </w:r>
            <w:r>
              <w:rPr>
                <w:rFonts w:hint="eastAsia" w:ascii="Times New Roman" w:hAnsi="Times New Roman" w:eastAsia="宋体" w:cs="Times New Roman"/>
                <w:color w:val="auto"/>
                <w:highlight w:val="none"/>
                <w:lang w:eastAsia="zh-CN"/>
              </w:rPr>
              <w:t>，以商务部分得分高的优先；</w:t>
            </w:r>
          </w:p>
          <w:p>
            <w:pPr>
              <w:spacing w:line="360" w:lineRule="exact"/>
              <w:ind w:firstLine="420" w:firstLineChars="200"/>
              <w:jc w:val="left"/>
              <w:rPr>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3</w:t>
            </w:r>
            <w:r>
              <w:rPr>
                <w:rFonts w:hint="eastAsia" w:ascii="Times New Roman" w:hAnsi="Times New Roman" w:eastAsia="宋体" w:cs="Times New Roman"/>
                <w:color w:val="auto"/>
                <w:highlight w:val="none"/>
                <w:lang w:eastAsia="zh-CN"/>
              </w:rPr>
              <w:t>）如商务部分得分也相同时，</w:t>
            </w:r>
            <w:r>
              <w:rPr>
                <w:rFonts w:hint="eastAsia" w:ascii="Times New Roman" w:hAnsi="Times New Roman" w:eastAsia="宋体" w:cs="Times New Roman"/>
                <w:color w:val="auto"/>
                <w:highlight w:val="none"/>
              </w:rPr>
              <w:t>则由评审委员</w:t>
            </w:r>
            <w:r>
              <w:rPr>
                <w:rFonts w:hint="eastAsia"/>
                <w:color w:val="auto"/>
                <w:highlight w:val="none"/>
              </w:rPr>
              <w:t>会投票决定。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tcBorders>
              <w:right w:val="single" w:color="auto" w:sz="4" w:space="0"/>
            </w:tcBorders>
            <w:noWrap w:val="0"/>
            <w:vAlign w:val="center"/>
          </w:tcPr>
          <w:p>
            <w:pPr>
              <w:spacing w:line="360" w:lineRule="exact"/>
              <w:jc w:val="center"/>
              <w:rPr>
                <w:rFonts w:ascii="宋体" w:hAnsi="宋体" w:cs="宋体"/>
                <w:color w:val="auto"/>
                <w:kern w:val="0"/>
                <w:highlight w:val="none"/>
              </w:rPr>
            </w:pPr>
            <w:r>
              <w:rPr>
                <w:rFonts w:ascii="宋体" w:hAnsi="宋体" w:cs="宋体"/>
                <w:color w:val="auto"/>
                <w:kern w:val="0"/>
                <w:highlight w:val="none"/>
              </w:rPr>
              <w:t>2.1.1</w:t>
            </w:r>
          </w:p>
        </w:tc>
        <w:tc>
          <w:tcPr>
            <w:tcW w:w="1153" w:type="dxa"/>
            <w:tcBorders>
              <w:right w:val="single" w:color="auto" w:sz="4" w:space="0"/>
            </w:tcBorders>
            <w:noWrap w:val="0"/>
            <w:vAlign w:val="center"/>
          </w:tcPr>
          <w:p>
            <w:pPr>
              <w:spacing w:line="360" w:lineRule="exact"/>
              <w:jc w:val="center"/>
              <w:rPr>
                <w:color w:val="auto"/>
                <w:highlight w:val="none"/>
              </w:rPr>
            </w:pPr>
            <w:r>
              <w:rPr>
                <w:rFonts w:hint="eastAsia" w:ascii="宋体" w:hAnsi="宋体" w:cs="宋体"/>
                <w:color w:val="auto"/>
                <w:kern w:val="0"/>
                <w:highlight w:val="none"/>
              </w:rPr>
              <w:t>资格评审</w:t>
            </w:r>
          </w:p>
        </w:tc>
        <w:tc>
          <w:tcPr>
            <w:tcW w:w="1481" w:type="dxa"/>
            <w:tcBorders>
              <w:left w:val="single" w:color="auto" w:sz="4" w:space="0"/>
            </w:tcBorders>
            <w:noWrap w:val="0"/>
            <w:vAlign w:val="center"/>
          </w:tcPr>
          <w:p>
            <w:pPr>
              <w:spacing w:line="400" w:lineRule="exact"/>
              <w:jc w:val="center"/>
              <w:rPr>
                <w:rFonts w:ascii="宋体" w:hAnsi="宋体" w:cs="宋体"/>
                <w:color w:val="auto"/>
                <w:kern w:val="0"/>
                <w:highlight w:val="none"/>
              </w:rPr>
            </w:pPr>
            <w:r>
              <w:rPr>
                <w:rFonts w:hint="eastAsia" w:ascii="宋体" w:hAnsi="宋体" w:cs="宋体"/>
                <w:color w:val="auto"/>
                <w:kern w:val="0"/>
                <w:highlight w:val="none"/>
              </w:rPr>
              <w:t>比选申请人资格条件</w:t>
            </w:r>
          </w:p>
        </w:tc>
        <w:tc>
          <w:tcPr>
            <w:tcW w:w="6328"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符合第二部分比选申请人须知“三、比选申请人资格条件要求”。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noWrap w:val="0"/>
            <w:vAlign w:val="center"/>
          </w:tcPr>
          <w:p>
            <w:pPr>
              <w:spacing w:line="360" w:lineRule="exact"/>
              <w:jc w:val="center"/>
              <w:rPr>
                <w:rFonts w:ascii="宋体"/>
                <w:color w:val="auto"/>
                <w:kern w:val="0"/>
                <w:highlight w:val="none"/>
              </w:rPr>
            </w:pPr>
            <w:r>
              <w:rPr>
                <w:rFonts w:hint="eastAsia" w:ascii="宋体"/>
                <w:color w:val="auto"/>
                <w:kern w:val="0"/>
                <w:highlight w:val="none"/>
              </w:rPr>
              <w:t>2.1.2</w:t>
            </w:r>
          </w:p>
        </w:tc>
        <w:tc>
          <w:tcPr>
            <w:tcW w:w="1153" w:type="dxa"/>
            <w:vMerge w:val="restart"/>
            <w:tcBorders>
              <w:right w:val="single" w:color="auto" w:sz="4" w:space="0"/>
            </w:tcBorders>
            <w:noWrap w:val="0"/>
            <w:vAlign w:val="center"/>
          </w:tcPr>
          <w:p>
            <w:pPr>
              <w:spacing w:line="360" w:lineRule="exact"/>
              <w:jc w:val="center"/>
              <w:rPr>
                <w:rFonts w:ascii="宋体"/>
                <w:color w:val="auto"/>
                <w:kern w:val="0"/>
                <w:highlight w:val="none"/>
              </w:rPr>
            </w:pPr>
            <w:r>
              <w:rPr>
                <w:rFonts w:hint="eastAsia" w:ascii="宋体" w:hAnsi="宋体" w:cs="宋体"/>
                <w:color w:val="auto"/>
                <w:kern w:val="0"/>
                <w:highlight w:val="none"/>
              </w:rPr>
              <w:t>形式评审</w:t>
            </w:r>
          </w:p>
        </w:tc>
        <w:tc>
          <w:tcPr>
            <w:tcW w:w="1481" w:type="dxa"/>
            <w:tcBorders>
              <w:left w:val="single" w:color="auto" w:sz="4" w:space="0"/>
            </w:tcBorders>
            <w:noWrap w:val="0"/>
            <w:vAlign w:val="center"/>
          </w:tcPr>
          <w:p>
            <w:pPr>
              <w:spacing w:line="400" w:lineRule="exact"/>
              <w:jc w:val="center"/>
              <w:rPr>
                <w:rFonts w:ascii="宋体"/>
                <w:color w:val="auto"/>
                <w:kern w:val="0"/>
                <w:highlight w:val="none"/>
              </w:rPr>
            </w:pPr>
            <w:r>
              <w:rPr>
                <w:rFonts w:hint="eastAsia" w:ascii="宋体" w:hAnsi="宋体" w:cs="宋体"/>
                <w:color w:val="auto"/>
                <w:highlight w:val="none"/>
              </w:rPr>
              <w:t>比选申请人名称</w:t>
            </w:r>
          </w:p>
        </w:tc>
        <w:tc>
          <w:tcPr>
            <w:tcW w:w="6328"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与营业执照一致，依法变更名称的应提交相应证明材料。</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481" w:type="dxa"/>
            <w:tcBorders>
              <w:left w:val="single" w:color="auto" w:sz="4" w:space="0"/>
            </w:tcBorders>
            <w:noWrap w:val="0"/>
            <w:vAlign w:val="center"/>
          </w:tcPr>
          <w:p>
            <w:pPr>
              <w:spacing w:line="400" w:lineRule="exact"/>
              <w:jc w:val="center"/>
              <w:rPr>
                <w:rFonts w:ascii="宋体" w:hAnsi="宋体" w:cs="宋体"/>
                <w:color w:val="auto"/>
                <w:kern w:val="0"/>
                <w:highlight w:val="none"/>
              </w:rPr>
            </w:pPr>
            <w:r>
              <w:rPr>
                <w:rFonts w:hint="eastAsia" w:ascii="宋体" w:hAnsi="宋体" w:cs="宋体"/>
                <w:color w:val="auto"/>
                <w:highlight w:val="none"/>
                <w:lang w:eastAsia="zh-CN"/>
              </w:rPr>
              <w:t>响应文件</w:t>
            </w:r>
            <w:r>
              <w:rPr>
                <w:rFonts w:hint="eastAsia" w:ascii="宋体" w:hAnsi="宋体" w:cs="宋体"/>
                <w:color w:val="auto"/>
                <w:highlight w:val="none"/>
              </w:rPr>
              <w:t>格式</w:t>
            </w:r>
          </w:p>
        </w:tc>
        <w:tc>
          <w:tcPr>
            <w:tcW w:w="6328"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响应文件格式符合第二部分比选申请人须知“七、响应文件的组成”。</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481" w:type="dxa"/>
            <w:tcBorders>
              <w:left w:val="single" w:color="auto" w:sz="4" w:space="0"/>
            </w:tcBorders>
            <w:noWrap w:val="0"/>
            <w:vAlign w:val="center"/>
          </w:tcPr>
          <w:p>
            <w:pPr>
              <w:spacing w:line="400" w:lineRule="exact"/>
              <w:jc w:val="center"/>
              <w:rPr>
                <w:rFonts w:hint="default" w:ascii="宋体" w:hAnsi="宋体" w:eastAsia="宋体" w:cs="宋体"/>
                <w:color w:val="auto"/>
                <w:kern w:val="0"/>
                <w:highlight w:val="none"/>
                <w:lang w:val="en-US" w:eastAsia="zh-CN"/>
              </w:rPr>
            </w:pPr>
            <w:r>
              <w:rPr>
                <w:rFonts w:hint="eastAsia" w:ascii="宋体" w:hAnsi="宋体" w:cs="宋体"/>
                <w:color w:val="auto"/>
                <w:highlight w:val="none"/>
                <w:lang w:val="en-US" w:eastAsia="zh-CN"/>
              </w:rPr>
              <w:t>响应文件的签字盖章</w:t>
            </w:r>
          </w:p>
        </w:tc>
        <w:tc>
          <w:tcPr>
            <w:tcW w:w="6328"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比选文件要求加盖比选申请人公章、法定代表人或其委托代理人签字（或盖章）的须齐全。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tcBorders>
              <w:right w:val="single" w:color="auto" w:sz="4" w:space="0"/>
            </w:tcBorders>
            <w:noWrap w:val="0"/>
            <w:vAlign w:val="center"/>
          </w:tcPr>
          <w:p>
            <w:pPr>
              <w:spacing w:line="360" w:lineRule="exact"/>
              <w:jc w:val="center"/>
              <w:rPr>
                <w:rFonts w:ascii="宋体" w:hAnsi="宋体" w:cs="宋体"/>
                <w:color w:val="auto"/>
                <w:kern w:val="0"/>
                <w:highlight w:val="none"/>
              </w:rPr>
            </w:pPr>
            <w:r>
              <w:rPr>
                <w:rFonts w:hint="eastAsia" w:ascii="宋体" w:hAnsi="宋体" w:cs="宋体"/>
                <w:color w:val="auto"/>
                <w:kern w:val="0"/>
                <w:highlight w:val="none"/>
              </w:rPr>
              <w:t>2.1.3</w:t>
            </w:r>
          </w:p>
        </w:tc>
        <w:tc>
          <w:tcPr>
            <w:tcW w:w="1153" w:type="dxa"/>
            <w:vMerge w:val="restart"/>
            <w:tcBorders>
              <w:right w:val="single" w:color="auto" w:sz="4" w:space="0"/>
            </w:tcBorders>
            <w:noWrap w:val="0"/>
            <w:vAlign w:val="center"/>
          </w:tcPr>
          <w:p>
            <w:pPr>
              <w:spacing w:line="360" w:lineRule="exact"/>
              <w:jc w:val="center"/>
              <w:rPr>
                <w:rFonts w:ascii="宋体" w:hAnsi="宋体" w:cs="宋体"/>
                <w:color w:val="auto"/>
                <w:kern w:val="0"/>
                <w:highlight w:val="none"/>
              </w:rPr>
            </w:pPr>
            <w:r>
              <w:rPr>
                <w:rFonts w:hint="eastAsia" w:ascii="宋体"/>
                <w:color w:val="auto"/>
                <w:highlight w:val="none"/>
              </w:rPr>
              <w:t>响应性评审</w:t>
            </w:r>
          </w:p>
        </w:tc>
        <w:tc>
          <w:tcPr>
            <w:tcW w:w="1481" w:type="dxa"/>
            <w:tcBorders>
              <w:left w:val="single" w:color="auto" w:sz="4" w:space="0"/>
            </w:tcBorders>
            <w:noWrap w:val="0"/>
            <w:vAlign w:val="center"/>
          </w:tcPr>
          <w:p>
            <w:pPr>
              <w:spacing w:line="4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比选内容</w:t>
            </w:r>
          </w:p>
        </w:tc>
        <w:tc>
          <w:tcPr>
            <w:tcW w:w="6328" w:type="dxa"/>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符合第二部分比选申请人须知“2.1比选范围”之规定。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center"/>
          </w:tcPr>
          <w:p>
            <w:pPr>
              <w:spacing w:line="360" w:lineRule="exact"/>
              <w:jc w:val="center"/>
              <w:rPr>
                <w:rFonts w:hint="eastAsia"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hint="eastAsia" w:ascii="宋体"/>
                <w:color w:val="auto"/>
                <w:highlight w:val="none"/>
              </w:rPr>
            </w:pPr>
          </w:p>
        </w:tc>
        <w:tc>
          <w:tcPr>
            <w:tcW w:w="1481" w:type="dxa"/>
            <w:tcBorders>
              <w:left w:val="single" w:color="auto" w:sz="4" w:space="0"/>
            </w:tcBorders>
            <w:noWrap w:val="0"/>
            <w:vAlign w:val="center"/>
          </w:tcPr>
          <w:p>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交货期</w:t>
            </w:r>
          </w:p>
        </w:tc>
        <w:tc>
          <w:tcPr>
            <w:tcW w:w="6328" w:type="dxa"/>
            <w:noWrap w:val="0"/>
            <w:vAlign w:val="center"/>
          </w:tcPr>
          <w:p>
            <w:pPr>
              <w:spacing w:line="4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2.2</w:t>
            </w:r>
            <w:r>
              <w:rPr>
                <w:rFonts w:hint="eastAsia" w:ascii="宋体" w:hAnsi="宋体" w:cs="宋体"/>
                <w:color w:val="auto"/>
                <w:kern w:val="2"/>
                <w:sz w:val="21"/>
                <w:szCs w:val="21"/>
                <w:highlight w:val="none"/>
                <w:lang w:val="en-US" w:eastAsia="zh-CN" w:bidi="ar-SA"/>
              </w:rPr>
              <w:t>交货期</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ascii="宋体"/>
                <w:color w:val="auto"/>
                <w:highlight w:val="none"/>
              </w:rPr>
            </w:pPr>
          </w:p>
        </w:tc>
        <w:tc>
          <w:tcPr>
            <w:tcW w:w="1481" w:type="dxa"/>
            <w:tcBorders>
              <w:left w:val="single" w:color="auto" w:sz="4" w:space="0"/>
            </w:tcBorders>
            <w:noWrap w:val="0"/>
            <w:vAlign w:val="center"/>
          </w:tcPr>
          <w:p>
            <w:pPr>
              <w:spacing w:line="400" w:lineRule="exac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交货地点</w:t>
            </w:r>
          </w:p>
        </w:tc>
        <w:tc>
          <w:tcPr>
            <w:tcW w:w="6328" w:type="dxa"/>
            <w:noWrap w:val="0"/>
            <w:vAlign w:val="center"/>
          </w:tcPr>
          <w:p>
            <w:pPr>
              <w:spacing w:line="4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2.3</w:t>
            </w:r>
            <w:r>
              <w:rPr>
                <w:rFonts w:hint="eastAsia" w:ascii="宋体" w:hAnsi="宋体" w:cs="宋体"/>
                <w:color w:val="auto"/>
                <w:kern w:val="2"/>
                <w:sz w:val="21"/>
                <w:szCs w:val="21"/>
                <w:highlight w:val="none"/>
                <w:lang w:val="en-US" w:eastAsia="zh-CN" w:bidi="ar-SA"/>
              </w:rPr>
              <w:t>交货地点</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ascii="宋体"/>
                <w:color w:val="auto"/>
                <w:highlight w:val="none"/>
              </w:rPr>
            </w:pPr>
          </w:p>
        </w:tc>
        <w:tc>
          <w:tcPr>
            <w:tcW w:w="1481" w:type="dxa"/>
            <w:tcBorders>
              <w:left w:val="single" w:color="auto" w:sz="4" w:space="0"/>
            </w:tcBorders>
            <w:noWrap w:val="0"/>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质保期</w:t>
            </w:r>
          </w:p>
        </w:tc>
        <w:tc>
          <w:tcPr>
            <w:tcW w:w="6328" w:type="dxa"/>
            <w:noWrap w:val="0"/>
            <w:vAlign w:val="center"/>
          </w:tcPr>
          <w:p>
            <w:pPr>
              <w:spacing w:line="4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val="en-US" w:eastAsia="zh-CN"/>
              </w:rPr>
              <w:t>2.4</w:t>
            </w:r>
            <w:r>
              <w:rPr>
                <w:rFonts w:hint="eastAsia" w:ascii="宋体" w:hAnsi="宋体" w:cs="宋体"/>
                <w:color w:val="auto"/>
                <w:kern w:val="2"/>
                <w:sz w:val="21"/>
                <w:szCs w:val="21"/>
                <w:highlight w:val="none"/>
                <w:lang w:val="en-US" w:eastAsia="zh-CN" w:bidi="ar-SA"/>
              </w:rPr>
              <w:t>质保期</w:t>
            </w:r>
            <w:r>
              <w:rPr>
                <w:rFonts w:hint="eastAsia" w:ascii="宋体" w:hAnsi="宋体" w:eastAsia="宋体" w:cs="宋体"/>
                <w:color w:val="auto"/>
                <w:kern w:val="0"/>
                <w:highlight w:val="none"/>
              </w:rPr>
              <w:t>”之规定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ascii="宋体"/>
                <w:color w:val="auto"/>
                <w:highlight w:val="none"/>
              </w:rPr>
            </w:pPr>
          </w:p>
        </w:tc>
        <w:tc>
          <w:tcPr>
            <w:tcW w:w="1481" w:type="dxa"/>
            <w:tcBorders>
              <w:left w:val="single" w:color="auto" w:sz="4" w:space="0"/>
            </w:tcBorders>
            <w:noWrap w:val="0"/>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比选有效期</w:t>
            </w:r>
          </w:p>
        </w:tc>
        <w:tc>
          <w:tcPr>
            <w:tcW w:w="6328" w:type="dxa"/>
            <w:noWrap w:val="0"/>
            <w:vAlign w:val="top"/>
          </w:tcPr>
          <w:p>
            <w:pPr>
              <w:spacing w:line="4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符合第二部分比选</w:t>
            </w:r>
            <w:r>
              <w:rPr>
                <w:rFonts w:hint="eastAsia" w:ascii="宋体" w:hAnsi="宋体" w:eastAsia="宋体" w:cs="宋体"/>
                <w:color w:val="auto"/>
                <w:kern w:val="0"/>
                <w:highlight w:val="none"/>
                <w:lang w:eastAsia="zh-CN"/>
              </w:rPr>
              <w:t>申请人</w:t>
            </w:r>
            <w:r>
              <w:rPr>
                <w:rFonts w:hint="eastAsia" w:ascii="宋体" w:hAnsi="宋体" w:eastAsia="宋体" w:cs="宋体"/>
                <w:color w:val="auto"/>
                <w:kern w:val="0"/>
                <w:highlight w:val="none"/>
              </w:rPr>
              <w:t>须知“</w:t>
            </w:r>
            <w:r>
              <w:rPr>
                <w:rFonts w:hint="eastAsia" w:ascii="宋体" w:hAnsi="宋体" w:eastAsia="宋体" w:cs="宋体"/>
                <w:color w:val="auto"/>
                <w:kern w:val="0"/>
                <w:highlight w:val="none"/>
                <w:lang w:eastAsia="zh-CN"/>
              </w:rPr>
              <w:t>五</w:t>
            </w:r>
            <w:r>
              <w:rPr>
                <w:rFonts w:hint="eastAsia" w:ascii="宋体" w:hAnsi="宋体" w:eastAsia="宋体" w:cs="宋体"/>
                <w:color w:val="auto"/>
                <w:kern w:val="0"/>
                <w:highlight w:val="none"/>
              </w:rPr>
              <w:t>、比选有效期”之规定</w:t>
            </w:r>
            <w:r>
              <w:rPr>
                <w:rFonts w:hint="eastAsia" w:ascii="宋体" w:hAnsi="宋体" w:eastAsia="宋体" w:cs="宋体"/>
                <w:color w:val="auto"/>
                <w:kern w:val="0"/>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jc w:val="center"/>
              <w:rPr>
                <w:rFonts w:ascii="宋体" w:hAnsi="宋体" w:cs="宋体"/>
                <w:color w:val="auto"/>
                <w:kern w:val="0"/>
                <w:highlight w:val="none"/>
              </w:rPr>
            </w:pPr>
          </w:p>
        </w:tc>
        <w:tc>
          <w:tcPr>
            <w:tcW w:w="1153" w:type="dxa"/>
            <w:vMerge w:val="continue"/>
            <w:tcBorders>
              <w:right w:val="single" w:color="auto" w:sz="4" w:space="0"/>
            </w:tcBorders>
            <w:noWrap w:val="0"/>
            <w:vAlign w:val="center"/>
          </w:tcPr>
          <w:p>
            <w:pPr>
              <w:spacing w:line="360" w:lineRule="exact"/>
              <w:jc w:val="center"/>
              <w:rPr>
                <w:rFonts w:ascii="宋体"/>
                <w:color w:val="auto"/>
                <w:highlight w:val="none"/>
              </w:rPr>
            </w:pPr>
          </w:p>
        </w:tc>
        <w:tc>
          <w:tcPr>
            <w:tcW w:w="1481" w:type="dxa"/>
            <w:tcBorders>
              <w:left w:val="single" w:color="auto" w:sz="4" w:space="0"/>
            </w:tcBorders>
            <w:noWrap w:val="0"/>
            <w:vAlign w:val="center"/>
          </w:tcPr>
          <w:p>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权利义务</w:t>
            </w:r>
          </w:p>
        </w:tc>
        <w:tc>
          <w:tcPr>
            <w:tcW w:w="6328" w:type="dxa"/>
            <w:noWrap w:val="0"/>
            <w:vAlign w:val="center"/>
          </w:tcPr>
          <w:p>
            <w:pPr>
              <w:spacing w:line="300" w:lineRule="exact"/>
              <w:rPr>
                <w:rFonts w:hint="eastAsia" w:ascii="宋体" w:hAnsi="宋体" w:cs="宋体"/>
                <w:color w:val="auto"/>
                <w:kern w:val="0"/>
                <w:highlight w:val="none"/>
              </w:rPr>
            </w:pPr>
            <w:r>
              <w:rPr>
                <w:rFonts w:hint="eastAsia" w:ascii="宋体" w:hAnsi="宋体" w:cs="宋体"/>
                <w:color w:val="auto"/>
                <w:kern w:val="0"/>
                <w:highlight w:val="none"/>
              </w:rPr>
              <w:t>符合“合同条款”规定，</w:t>
            </w:r>
            <w:r>
              <w:rPr>
                <w:rFonts w:hint="eastAsia" w:ascii="宋体" w:hAnsi="宋体" w:cs="宋体"/>
                <w:color w:val="auto"/>
                <w:kern w:val="0"/>
                <w:highlight w:val="none"/>
                <w:lang w:eastAsia="zh-CN"/>
              </w:rPr>
              <w:t>响应文件</w:t>
            </w:r>
            <w:r>
              <w:rPr>
                <w:rFonts w:hint="eastAsia" w:ascii="宋体" w:hAnsi="宋体" w:cs="宋体"/>
                <w:color w:val="auto"/>
                <w:kern w:val="0"/>
                <w:highlight w:val="none"/>
              </w:rPr>
              <w:t>不应附有比选人不能接受的条件。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tcBorders>
              <w:right w:val="single" w:color="auto" w:sz="4" w:space="0"/>
            </w:tcBorders>
            <w:noWrap w:val="0"/>
            <w:vAlign w:val="top"/>
          </w:tcPr>
          <w:p>
            <w:pPr>
              <w:spacing w:line="360" w:lineRule="exact"/>
              <w:rPr>
                <w:rFonts w:ascii="宋体"/>
                <w:color w:val="auto"/>
                <w:kern w:val="0"/>
                <w:highlight w:val="none"/>
              </w:rPr>
            </w:pPr>
          </w:p>
        </w:tc>
        <w:tc>
          <w:tcPr>
            <w:tcW w:w="1153" w:type="dxa"/>
            <w:vMerge w:val="continue"/>
            <w:tcBorders>
              <w:right w:val="single" w:color="auto" w:sz="4" w:space="0"/>
            </w:tcBorders>
            <w:noWrap w:val="0"/>
            <w:vAlign w:val="top"/>
          </w:tcPr>
          <w:p>
            <w:pPr>
              <w:spacing w:line="360" w:lineRule="exact"/>
              <w:rPr>
                <w:rFonts w:ascii="宋体"/>
                <w:color w:val="auto"/>
                <w:kern w:val="0"/>
                <w:highlight w:val="none"/>
              </w:rPr>
            </w:pPr>
          </w:p>
        </w:tc>
        <w:tc>
          <w:tcPr>
            <w:tcW w:w="1481" w:type="dxa"/>
            <w:tcBorders>
              <w:left w:val="single" w:color="auto" w:sz="4" w:space="0"/>
            </w:tcBorders>
            <w:noWrap w:val="0"/>
            <w:vAlign w:val="center"/>
          </w:tcPr>
          <w:p>
            <w:pPr>
              <w:spacing w:line="400" w:lineRule="exact"/>
              <w:jc w:val="center"/>
              <w:rPr>
                <w:rFonts w:ascii="宋体"/>
                <w:color w:val="auto"/>
                <w:kern w:val="0"/>
                <w:highlight w:val="none"/>
              </w:rPr>
            </w:pPr>
            <w:r>
              <w:rPr>
                <w:rFonts w:hint="eastAsia" w:ascii="宋体" w:hAnsi="宋体" w:cs="宋体"/>
                <w:color w:val="auto"/>
                <w:highlight w:val="none"/>
              </w:rPr>
              <w:t>实质性要求</w:t>
            </w:r>
          </w:p>
        </w:tc>
        <w:tc>
          <w:tcPr>
            <w:tcW w:w="6328" w:type="dxa"/>
            <w:noWrap w:val="0"/>
            <w:vAlign w:val="center"/>
          </w:tcPr>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本次比选不得有串通竞选、弄虚作假等其他违反招投标相关法律、法规行为。按评审委员会要求澄清、说明或补正。</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hAnsi="宋体"/>
                <w:color w:val="auto"/>
                <w:highlight w:val="none"/>
              </w:rPr>
              <w:t>2.2.1</w:t>
            </w:r>
          </w:p>
        </w:tc>
        <w:tc>
          <w:tcPr>
            <w:tcW w:w="1153" w:type="dxa"/>
            <w:tcBorders>
              <w:right w:val="single" w:color="auto" w:sz="4" w:space="0"/>
            </w:tcBorders>
            <w:noWrap w:val="0"/>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hAnsi="宋体"/>
                <w:color w:val="auto"/>
                <w:highlight w:val="none"/>
              </w:rPr>
              <w:t>分值构成</w:t>
            </w:r>
          </w:p>
        </w:tc>
        <w:tc>
          <w:tcPr>
            <w:tcW w:w="1481" w:type="dxa"/>
            <w:tcBorders>
              <w:left w:val="single" w:color="auto" w:sz="4" w:space="0"/>
            </w:tcBorders>
            <w:noWrap w:val="0"/>
            <w:vAlign w:val="center"/>
          </w:tcPr>
          <w:p>
            <w:pPr>
              <w:tabs>
                <w:tab w:val="left" w:pos="1875"/>
              </w:tabs>
              <w:spacing w:line="360" w:lineRule="exact"/>
              <w:jc w:val="center"/>
              <w:rPr>
                <w:rFonts w:ascii="宋体" w:hAnsi="宋体" w:cs="宋体"/>
                <w:color w:val="auto"/>
                <w:highlight w:val="none"/>
              </w:rPr>
            </w:pPr>
            <w:r>
              <w:rPr>
                <w:rFonts w:hint="eastAsia" w:ascii="宋体" w:hAnsi="宋体" w:cs="宋体"/>
                <w:color w:val="auto"/>
                <w:highlight w:val="none"/>
              </w:rPr>
              <w:t>分值构成</w:t>
            </w:r>
          </w:p>
          <w:p>
            <w:pPr>
              <w:tabs>
                <w:tab w:val="left" w:pos="1875"/>
              </w:tabs>
              <w:spacing w:line="360" w:lineRule="exact"/>
              <w:jc w:val="center"/>
              <w:rPr>
                <w:rFonts w:hint="eastAsia" w:ascii="宋体" w:hAnsi="Times New Roman" w:eastAsia="宋体" w:cs="Times New Roman"/>
                <w:color w:val="auto"/>
                <w:kern w:val="0"/>
                <w:sz w:val="21"/>
                <w:szCs w:val="21"/>
                <w:highlight w:val="none"/>
                <w:lang w:val="en-US" w:eastAsia="zh-CN" w:bidi="ar-SA"/>
              </w:rPr>
            </w:pPr>
            <w:r>
              <w:rPr>
                <w:rFonts w:hint="eastAsia" w:ascii="宋体" w:hAnsi="宋体" w:cs="宋体"/>
                <w:color w:val="auto"/>
                <w:highlight w:val="none"/>
              </w:rPr>
              <w:t xml:space="preserve"> (总分1OO分)</w:t>
            </w:r>
          </w:p>
        </w:tc>
        <w:tc>
          <w:tcPr>
            <w:tcW w:w="6328" w:type="dxa"/>
            <w:noWrap w:val="0"/>
            <w:vAlign w:val="center"/>
          </w:tcPr>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（1）响应报价：</w:t>
            </w:r>
            <w:r>
              <w:rPr>
                <w:rFonts w:hint="eastAsia" w:ascii="宋体" w:hAnsi="宋体" w:cs="宋体"/>
                <w:color w:val="auto"/>
                <w:kern w:val="0"/>
                <w:highlight w:val="none"/>
                <w:lang w:val="en-US" w:eastAsia="zh-CN"/>
              </w:rPr>
              <w:t>50</w:t>
            </w:r>
            <w:r>
              <w:rPr>
                <w:rFonts w:hint="eastAsia" w:ascii="宋体" w:hAnsi="宋体" w:eastAsia="宋体" w:cs="宋体"/>
                <w:color w:val="auto"/>
                <w:kern w:val="0"/>
                <w:highlight w:val="none"/>
                <w:lang w:eastAsia="zh-CN"/>
              </w:rPr>
              <w:t>分；</w:t>
            </w:r>
          </w:p>
          <w:p>
            <w:pPr>
              <w:spacing w:line="300" w:lineRule="exac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（2）技术部分：</w:t>
            </w:r>
            <w:r>
              <w:rPr>
                <w:rFonts w:hint="eastAsia" w:ascii="宋体" w:hAnsi="宋体" w:cs="宋体"/>
                <w:color w:val="auto"/>
                <w:kern w:val="0"/>
                <w:highlight w:val="none"/>
                <w:lang w:val="en-US" w:eastAsia="zh-CN"/>
              </w:rPr>
              <w:t>40</w:t>
            </w:r>
            <w:r>
              <w:rPr>
                <w:rFonts w:hint="eastAsia" w:ascii="宋体" w:hAnsi="宋体" w:eastAsia="宋体" w:cs="宋体"/>
                <w:color w:val="auto"/>
                <w:kern w:val="0"/>
                <w:highlight w:val="none"/>
                <w:lang w:eastAsia="zh-CN"/>
              </w:rPr>
              <w:t>分；</w:t>
            </w:r>
          </w:p>
          <w:p>
            <w:pPr>
              <w:spacing w:line="3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（3）商务部分：</w:t>
            </w:r>
            <w:r>
              <w:rPr>
                <w:rFonts w:hint="eastAsia" w:ascii="宋体" w:hAnsi="宋体" w:cs="宋体"/>
                <w:color w:val="auto"/>
                <w:kern w:val="0"/>
                <w:highlight w:val="none"/>
                <w:lang w:val="en-US" w:eastAsia="zh-CN"/>
              </w:rPr>
              <w:t>1</w:t>
            </w:r>
            <w:r>
              <w:rPr>
                <w:rFonts w:hint="eastAsia" w:ascii="宋体" w:hAnsi="宋体" w:eastAsia="宋体" w:cs="宋体"/>
                <w:color w:val="auto"/>
                <w:kern w:val="0"/>
                <w:highlight w:val="none"/>
                <w:lang w:val="en-US" w:eastAsia="zh-CN"/>
              </w:rPr>
              <w:t>0分。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2.2.2</w:t>
            </w:r>
          </w:p>
        </w:tc>
        <w:tc>
          <w:tcPr>
            <w:tcW w:w="1153" w:type="dxa"/>
            <w:tcBorders>
              <w:right w:val="single" w:color="auto" w:sz="4" w:space="0"/>
            </w:tcBorders>
            <w:noWrap w:val="0"/>
            <w:vAlign w:val="center"/>
          </w:tcPr>
          <w:p>
            <w:pPr>
              <w:snapToGrid w:val="0"/>
              <w:jc w:val="center"/>
              <w:rPr>
                <w:rFonts w:hint="eastAsia" w:ascii="宋体" w:hAnsi="宋体" w:eastAsia="宋体" w:cs="Times New Roman"/>
                <w:color w:val="auto"/>
                <w:highlight w:val="none"/>
                <w:lang w:val="en-US" w:eastAsia="zh-CN"/>
              </w:rPr>
            </w:pPr>
            <w:r>
              <w:rPr>
                <w:rFonts w:hint="eastAsia" w:ascii="宋体" w:hAnsi="宋体" w:cs="宋体"/>
                <w:kern w:val="0"/>
                <w:highlight w:val="none"/>
              </w:rPr>
              <w:t>评审基准价计算方法</w:t>
            </w:r>
          </w:p>
        </w:tc>
        <w:tc>
          <w:tcPr>
            <w:tcW w:w="7809" w:type="dxa"/>
            <w:gridSpan w:val="2"/>
            <w:tcBorders>
              <w:left w:val="single" w:color="auto" w:sz="4" w:space="0"/>
            </w:tcBorders>
            <w:noWrap w:val="0"/>
            <w:vAlign w:val="top"/>
          </w:tcPr>
          <w:p>
            <w:pPr>
              <w:pStyle w:val="16"/>
              <w:snapToGrid w:val="0"/>
              <w:spacing w:after="0"/>
              <w:ind w:left="0" w:leftChars="0" w:firstLine="420" w:firstLineChars="200"/>
              <w:rPr>
                <w:rFonts w:hint="eastAsia" w:ascii="宋体" w:hAnsi="宋体" w:eastAsia="宋体" w:cs="宋体"/>
                <w:sz w:val="21"/>
                <w:highlight w:val="none"/>
              </w:rPr>
            </w:pPr>
            <w:r>
              <w:rPr>
                <w:rFonts w:hint="eastAsia" w:ascii="宋体" w:hAnsi="宋体" w:cs="宋体"/>
                <w:sz w:val="21"/>
                <w:highlight w:val="none"/>
                <w:lang w:val="en-US" w:eastAsia="zh-CN"/>
              </w:rPr>
              <w:t>响应总报价评审基准价计算方法：</w:t>
            </w:r>
            <w:r>
              <w:rPr>
                <w:rFonts w:hint="eastAsia" w:ascii="宋体" w:hAnsi="宋体" w:eastAsia="宋体" w:cs="宋体"/>
                <w:sz w:val="21"/>
                <w:highlight w:val="none"/>
              </w:rPr>
              <w:t>所有初步评审合格的比选申请人（</w:t>
            </w:r>
            <w:r>
              <w:rPr>
                <w:rFonts w:hint="eastAsia" w:ascii="宋体" w:hAnsi="宋体" w:cs="宋体"/>
                <w:sz w:val="21"/>
                <w:highlight w:val="none"/>
                <w:lang w:eastAsia="zh-CN"/>
              </w:rPr>
              <w:t>响应报价</w:t>
            </w:r>
            <w:r>
              <w:rPr>
                <w:rFonts w:hint="eastAsia" w:ascii="宋体" w:hAnsi="宋体" w:eastAsia="宋体" w:cs="宋体"/>
                <w:sz w:val="21"/>
                <w:highlight w:val="none"/>
              </w:rPr>
              <w:t>高于最高限价的除外）的</w:t>
            </w:r>
            <w:r>
              <w:rPr>
                <w:rFonts w:hint="eastAsia" w:ascii="宋体" w:hAnsi="宋体" w:eastAsia="宋体" w:cs="宋体"/>
                <w:sz w:val="21"/>
                <w:highlight w:val="none"/>
                <w:lang w:eastAsia="zh-CN"/>
              </w:rPr>
              <w:t>响应总报价</w:t>
            </w:r>
            <w:r>
              <w:rPr>
                <w:rFonts w:hint="eastAsia" w:ascii="宋体" w:hAnsi="宋体" w:eastAsia="宋体" w:cs="宋体"/>
                <w:sz w:val="21"/>
                <w:highlight w:val="none"/>
              </w:rPr>
              <w:t>中的</w:t>
            </w:r>
            <w:r>
              <w:rPr>
                <w:rFonts w:hint="eastAsia" w:ascii="宋体" w:hAnsi="宋体" w:eastAsia="宋体" w:cs="宋体"/>
                <w:b/>
                <w:bCs/>
                <w:sz w:val="21"/>
                <w:highlight w:val="none"/>
              </w:rPr>
              <w:t>最低价</w:t>
            </w:r>
            <w:r>
              <w:rPr>
                <w:rFonts w:hint="eastAsia" w:ascii="宋体" w:hAnsi="宋体" w:eastAsia="宋体" w:cs="宋体"/>
                <w:sz w:val="21"/>
                <w:highlight w:val="none"/>
              </w:rPr>
              <w:t>。</w:t>
            </w:r>
          </w:p>
          <w:p>
            <w:pPr>
              <w:pStyle w:val="16"/>
              <w:snapToGrid w:val="0"/>
              <w:spacing w:after="0"/>
              <w:ind w:left="0" w:leftChars="0" w:firstLine="420" w:firstLineChars="200"/>
              <w:rPr>
                <w:rFonts w:hint="eastAsia" w:ascii="宋体" w:hAnsi="宋体" w:eastAsia="宋体" w:cs="宋体"/>
                <w:sz w:val="21"/>
                <w:highlight w:val="none"/>
                <w:lang w:val="en-US" w:eastAsia="zh-CN"/>
              </w:rPr>
            </w:pPr>
            <w:r>
              <w:rPr>
                <w:rFonts w:hint="eastAsia" w:ascii="宋体" w:hAnsi="宋体" w:cs="宋体"/>
                <w:sz w:val="21"/>
                <w:highlight w:val="none"/>
                <w:lang w:val="en-US" w:eastAsia="zh-CN"/>
              </w:rPr>
              <w:t>分项报价评审基准价计算方法：</w:t>
            </w:r>
            <w:r>
              <w:rPr>
                <w:rFonts w:hint="eastAsia" w:ascii="宋体" w:hAnsi="宋体" w:eastAsia="宋体" w:cs="宋体"/>
                <w:sz w:val="21"/>
                <w:highlight w:val="none"/>
              </w:rPr>
              <w:t>所有初步评审合格的比选申请人（</w:t>
            </w:r>
            <w:r>
              <w:rPr>
                <w:rFonts w:hint="eastAsia" w:ascii="宋体" w:hAnsi="宋体" w:cs="宋体"/>
                <w:sz w:val="21"/>
                <w:highlight w:val="none"/>
                <w:lang w:val="en-US" w:eastAsia="zh-CN"/>
              </w:rPr>
              <w:t>响应</w:t>
            </w:r>
            <w:r>
              <w:rPr>
                <w:rFonts w:hint="eastAsia" w:ascii="宋体" w:hAnsi="宋体" w:eastAsia="宋体" w:cs="宋体"/>
                <w:sz w:val="21"/>
                <w:highlight w:val="none"/>
              </w:rPr>
              <w:t>报价高于最高限价的除外）的</w:t>
            </w:r>
            <w:r>
              <w:rPr>
                <w:rFonts w:hint="eastAsia" w:ascii="宋体" w:hAnsi="宋体" w:cs="宋体"/>
                <w:sz w:val="21"/>
                <w:highlight w:val="none"/>
                <w:lang w:val="en-US" w:eastAsia="zh-CN"/>
              </w:rPr>
              <w:t>该</w:t>
            </w:r>
            <w:r>
              <w:rPr>
                <w:rFonts w:hint="eastAsia" w:ascii="宋体" w:hAnsi="宋体" w:eastAsia="宋体" w:cs="宋体"/>
                <w:sz w:val="21"/>
                <w:highlight w:val="none"/>
              </w:rPr>
              <w:t>项分项报价中的</w:t>
            </w:r>
            <w:r>
              <w:rPr>
                <w:rFonts w:hint="eastAsia" w:ascii="宋体" w:hAnsi="宋体" w:eastAsia="宋体" w:cs="宋体"/>
                <w:b/>
                <w:bCs/>
                <w:sz w:val="21"/>
                <w:highlight w:val="none"/>
              </w:rPr>
              <w:t>最低价</w:t>
            </w:r>
            <w:r>
              <w:rPr>
                <w:rFonts w:hint="eastAsia" w:ascii="宋体" w:hAnsi="宋体" w:eastAsia="宋体" w:cs="宋体"/>
                <w:sz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tcBorders>
              <w:right w:val="single" w:color="auto" w:sz="4" w:space="0"/>
            </w:tcBorders>
            <w:noWrap w:val="0"/>
            <w:vAlign w:val="center"/>
          </w:tcPr>
          <w:p>
            <w:pPr>
              <w:spacing w:line="360" w:lineRule="exact"/>
              <w:jc w:val="center"/>
              <w:rPr>
                <w:rFonts w:hint="eastAsia" w:ascii="宋体" w:hAnsi="宋体"/>
                <w:color w:val="auto"/>
                <w:highlight w:val="none"/>
              </w:rPr>
            </w:pPr>
            <w:r>
              <w:rPr>
                <w:rFonts w:hint="eastAsia" w:ascii="宋体" w:hAnsi="宋体"/>
                <w:color w:val="auto"/>
                <w:highlight w:val="none"/>
              </w:rPr>
              <w:t>2.2.3</w:t>
            </w:r>
          </w:p>
        </w:tc>
        <w:tc>
          <w:tcPr>
            <w:tcW w:w="1153" w:type="dxa"/>
            <w:tcBorders>
              <w:right w:val="single" w:color="auto" w:sz="4" w:space="0"/>
            </w:tcBorders>
            <w:noWrap w:val="0"/>
            <w:vAlign w:val="center"/>
          </w:tcPr>
          <w:p>
            <w:pPr>
              <w:spacing w:line="360" w:lineRule="exact"/>
              <w:jc w:val="center"/>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响应报价的偏差率计算公式</w:t>
            </w:r>
          </w:p>
        </w:tc>
        <w:tc>
          <w:tcPr>
            <w:tcW w:w="7809" w:type="dxa"/>
            <w:gridSpan w:val="2"/>
            <w:tcBorders>
              <w:left w:val="single" w:color="auto" w:sz="4" w:space="0"/>
            </w:tcBorders>
            <w:noWrap w:val="0"/>
            <w:vAlign w:val="center"/>
          </w:tcPr>
          <w:p>
            <w:pPr>
              <w:spacing w:line="300" w:lineRule="exac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偏差率=100％×（比选申请人响应报价一评审基准价）／评审基准价</w:t>
            </w:r>
          </w:p>
          <w:p>
            <w:pPr>
              <w:spacing w:line="300" w:lineRule="exac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偏差率计算的最终结果取小数点后两位，小数点后第三位“四舍五入”。</w:t>
            </w:r>
          </w:p>
        </w:tc>
      </w:tr>
      <w:bookmarkEnd w:id="53"/>
      <w:bookmarkEnd w:id="54"/>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157" w:hRule="atLeast"/>
          <w:jc w:val="center"/>
        </w:trPr>
        <w:tc>
          <w:tcPr>
            <w:tcW w:w="837" w:type="dxa"/>
            <w:vMerge w:val="restart"/>
            <w:noWrap w:val="0"/>
            <w:vAlign w:val="center"/>
          </w:tcPr>
          <w:p>
            <w:pPr>
              <w:spacing w:line="360" w:lineRule="exact"/>
              <w:jc w:val="center"/>
              <w:rPr>
                <w:rFonts w:ascii="宋体" w:hAnsi="Times New Roman" w:eastAsia="宋体" w:cs="Times New Roman"/>
                <w:color w:val="auto"/>
                <w:kern w:val="2"/>
                <w:sz w:val="21"/>
                <w:szCs w:val="21"/>
                <w:highlight w:val="none"/>
                <w:lang w:val="en-US" w:eastAsia="zh-CN" w:bidi="ar-SA"/>
              </w:rPr>
            </w:pPr>
            <w:r>
              <w:rPr>
                <w:rFonts w:hint="eastAsia" w:ascii="宋体" w:hAnsi="宋体"/>
                <w:color w:val="auto"/>
                <w:highlight w:val="none"/>
                <w:lang w:val="en-US" w:eastAsia="zh-CN"/>
              </w:rPr>
              <w:t>2.2.4（1）</w:t>
            </w:r>
          </w:p>
        </w:tc>
        <w:tc>
          <w:tcPr>
            <w:tcW w:w="1153" w:type="dxa"/>
            <w:vMerge w:val="restart"/>
            <w:noWrap w:val="0"/>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highlight w:val="none"/>
                <w:lang w:eastAsia="zh-CN"/>
              </w:rPr>
              <w:t>响应报价</w:t>
            </w:r>
            <w:r>
              <w:rPr>
                <w:rFonts w:hint="eastAsia" w:ascii="宋体" w:hAnsi="宋体" w:eastAsia="宋体" w:cs="Times New Roman"/>
                <w:color w:val="auto"/>
                <w:highlight w:val="none"/>
              </w:rPr>
              <w:t>得分（</w:t>
            </w:r>
            <w:r>
              <w:rPr>
                <w:rFonts w:hint="eastAsia" w:ascii="宋体" w:hAnsi="宋体" w:cs="Times New Roman"/>
                <w:color w:val="auto"/>
                <w:highlight w:val="none"/>
                <w:lang w:val="en-US" w:eastAsia="zh-CN"/>
              </w:rPr>
              <w:t>50</w:t>
            </w:r>
            <w:r>
              <w:rPr>
                <w:rFonts w:hint="eastAsia" w:ascii="宋体" w:hAnsi="宋体" w:eastAsia="宋体" w:cs="Times New Roman"/>
                <w:color w:val="auto"/>
                <w:highlight w:val="none"/>
              </w:rPr>
              <w:t>分）</w:t>
            </w:r>
          </w:p>
        </w:tc>
        <w:tc>
          <w:tcPr>
            <w:tcW w:w="1481" w:type="dxa"/>
            <w:tcBorders>
              <w:bottom w:val="single" w:color="auto" w:sz="4" w:space="0"/>
              <w:right w:val="single" w:color="auto" w:sz="4" w:space="0"/>
            </w:tcBorders>
            <w:noWrap w:val="0"/>
            <w:vAlign w:val="center"/>
          </w:tcPr>
          <w:p>
            <w:pPr>
              <w:spacing w:line="300" w:lineRule="exact"/>
              <w:rPr>
                <w:rFonts w:hint="eastAsia" w:ascii="宋体" w:hAnsi="宋体" w:eastAsia="宋体" w:cs="宋体"/>
                <w:color w:val="auto"/>
                <w:kern w:val="0"/>
                <w:highlight w:val="none"/>
              </w:rPr>
            </w:pPr>
            <w:r>
              <w:rPr>
                <w:rFonts w:hint="eastAsia" w:ascii="宋体" w:hAnsi="宋体" w:cs="宋体"/>
                <w:color w:val="auto"/>
                <w:kern w:val="0"/>
                <w:highlight w:val="none"/>
                <w:lang w:val="en-US" w:eastAsia="zh-CN"/>
              </w:rPr>
              <w:t>响应总报价得分（36分）</w:t>
            </w:r>
          </w:p>
        </w:tc>
        <w:tc>
          <w:tcPr>
            <w:tcW w:w="6328" w:type="dxa"/>
            <w:tcBorders>
              <w:left w:val="single" w:color="auto" w:sz="4" w:space="0"/>
              <w:bottom w:val="single" w:color="auto" w:sz="4" w:space="0"/>
            </w:tcBorders>
            <w:noWrap w:val="0"/>
            <w:vAlign w:val="center"/>
          </w:tcPr>
          <w:p>
            <w:pPr>
              <w:pStyle w:val="16"/>
              <w:snapToGrid w:val="0"/>
              <w:spacing w:after="0"/>
              <w:ind w:left="0" w:leftChars="0" w:firstLine="420" w:firstLineChars="200"/>
              <w:rPr>
                <w:rFonts w:hint="eastAsia" w:ascii="宋体" w:hAnsi="宋体" w:eastAsia="宋体" w:cs="宋体"/>
                <w:color w:val="auto"/>
                <w:kern w:val="0"/>
                <w:sz w:val="21"/>
                <w:szCs w:val="21"/>
                <w:highlight w:val="none"/>
                <w:lang w:val="en-US" w:eastAsia="zh-CN" w:bidi="ar-SA"/>
              </w:rPr>
            </w:pPr>
            <w:bookmarkStart w:id="55" w:name="OLE_LINK9"/>
            <w:r>
              <w:rPr>
                <w:rFonts w:hint="eastAsia" w:ascii="宋体" w:hAnsi="宋体" w:cs="宋体"/>
                <w:sz w:val="21"/>
                <w:highlight w:val="none"/>
              </w:rPr>
              <w:t>所有通过初步评审合格比选申请人的有效</w:t>
            </w:r>
            <w:r>
              <w:rPr>
                <w:rFonts w:hint="eastAsia" w:ascii="宋体" w:hAnsi="宋体" w:cs="宋体"/>
                <w:sz w:val="21"/>
                <w:highlight w:val="none"/>
                <w:lang w:eastAsia="zh-CN"/>
              </w:rPr>
              <w:t>响应总报价</w:t>
            </w:r>
            <w:r>
              <w:rPr>
                <w:rFonts w:hint="eastAsia" w:ascii="宋体" w:hAnsi="宋体" w:cs="宋体"/>
                <w:sz w:val="21"/>
                <w:highlight w:val="none"/>
              </w:rPr>
              <w:t>与评审基准价相等得满分，与评审基准价相比，每增加1%在</w:t>
            </w:r>
            <w:r>
              <w:rPr>
                <w:rFonts w:hint="eastAsia" w:ascii="宋体" w:hAnsi="宋体" w:cs="宋体"/>
                <w:sz w:val="21"/>
                <w:highlight w:val="none"/>
                <w:u w:val="single"/>
                <w:lang w:val="en-US" w:eastAsia="zh-CN"/>
              </w:rPr>
              <w:t>36</w:t>
            </w:r>
            <w:r>
              <w:rPr>
                <w:rFonts w:hint="eastAsia" w:ascii="宋体" w:hAnsi="宋体" w:cs="宋体"/>
                <w:sz w:val="21"/>
                <w:highlight w:val="none"/>
              </w:rPr>
              <w:t>分的基础上扣0.</w:t>
            </w:r>
            <w:r>
              <w:rPr>
                <w:rFonts w:hint="eastAsia" w:ascii="宋体" w:hAnsi="宋体" w:cs="宋体"/>
                <w:sz w:val="21"/>
                <w:highlight w:val="none"/>
                <w:lang w:val="en-US" w:eastAsia="zh-CN"/>
              </w:rPr>
              <w:t>2</w:t>
            </w:r>
            <w:r>
              <w:rPr>
                <w:rFonts w:hint="eastAsia" w:ascii="宋体" w:hAnsi="宋体" w:cs="宋体"/>
                <w:sz w:val="21"/>
                <w:highlight w:val="none"/>
              </w:rPr>
              <w:t>分，扣完为止</w:t>
            </w:r>
            <w:bookmarkEnd w:id="55"/>
            <w:r>
              <w:rPr>
                <w:rFonts w:hint="eastAsia" w:ascii="宋体" w:hAnsi="宋体" w:cs="宋体"/>
                <w:sz w:val="21"/>
                <w:highlight w:val="none"/>
              </w:rPr>
              <w:t>。</w:t>
            </w:r>
            <w:bookmarkStart w:id="56" w:name="OLE_LINK10"/>
            <w:r>
              <w:rPr>
                <w:rFonts w:hint="eastAsia" w:ascii="宋体" w:hAnsi="宋体" w:cs="宋体"/>
                <w:sz w:val="21"/>
                <w:highlight w:val="none"/>
              </w:rPr>
              <w:t>（按插入法计算得分；以上计算取小数点后两位，第三位四舍五入）</w:t>
            </w:r>
            <w:r>
              <w:rPr>
                <w:rFonts w:hint="eastAsia" w:ascii="宋体" w:hAnsi="宋体" w:cs="宋体"/>
                <w:kern w:val="0"/>
                <w:sz w:val="21"/>
                <w:highlight w:val="none"/>
              </w:rPr>
              <w:t>。</w:t>
            </w:r>
            <w:bookmarkEnd w:id="56"/>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63" w:hRule="atLeast"/>
          <w:jc w:val="center"/>
        </w:trPr>
        <w:tc>
          <w:tcPr>
            <w:tcW w:w="837" w:type="dxa"/>
            <w:vMerge w:val="continue"/>
            <w:noWrap w:val="0"/>
            <w:vAlign w:val="center"/>
          </w:tcPr>
          <w:p>
            <w:pPr>
              <w:spacing w:line="360" w:lineRule="exact"/>
              <w:jc w:val="center"/>
              <w:rPr>
                <w:rFonts w:hint="eastAsia" w:ascii="宋体" w:hAnsi="宋体"/>
                <w:color w:val="auto"/>
                <w:highlight w:val="none"/>
                <w:lang w:val="en-US" w:eastAsia="zh-CN"/>
              </w:rPr>
            </w:pPr>
          </w:p>
        </w:tc>
        <w:tc>
          <w:tcPr>
            <w:tcW w:w="1153" w:type="dxa"/>
            <w:vMerge w:val="continue"/>
            <w:noWrap w:val="0"/>
            <w:vAlign w:val="center"/>
          </w:tcPr>
          <w:p>
            <w:pPr>
              <w:spacing w:line="360" w:lineRule="exact"/>
              <w:jc w:val="center"/>
              <w:rPr>
                <w:rFonts w:hint="eastAsia" w:ascii="宋体" w:hAnsi="宋体" w:eastAsia="宋体" w:cs="Times New Roman"/>
                <w:color w:val="auto"/>
                <w:highlight w:val="none"/>
                <w:lang w:eastAsia="zh-CN"/>
              </w:rPr>
            </w:pPr>
          </w:p>
        </w:tc>
        <w:tc>
          <w:tcPr>
            <w:tcW w:w="1481" w:type="dxa"/>
            <w:tcBorders>
              <w:top w:val="single" w:color="auto" w:sz="4" w:space="0"/>
              <w:right w:val="single" w:color="auto" w:sz="4" w:space="0"/>
            </w:tcBorders>
            <w:noWrap w:val="0"/>
            <w:vAlign w:val="center"/>
          </w:tcPr>
          <w:p>
            <w:pPr>
              <w:spacing w:line="300" w:lineRule="exact"/>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分项报价得分（14分）</w:t>
            </w:r>
          </w:p>
        </w:tc>
        <w:tc>
          <w:tcPr>
            <w:tcW w:w="6328" w:type="dxa"/>
            <w:tcBorders>
              <w:top w:val="single" w:color="auto" w:sz="4" w:space="0"/>
              <w:left w:val="single" w:color="auto" w:sz="4" w:space="0"/>
            </w:tcBorders>
            <w:noWrap w:val="0"/>
            <w:vAlign w:val="center"/>
          </w:tcPr>
          <w:p>
            <w:pPr>
              <w:pStyle w:val="16"/>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本项目每个分项报价总分为1分，合计</w:t>
            </w:r>
            <w:r>
              <w:rPr>
                <w:rFonts w:hint="eastAsia" w:ascii="宋体" w:hAnsi="宋体" w:cs="宋体"/>
                <w:sz w:val="21"/>
                <w:highlight w:val="none"/>
                <w:lang w:val="en-US" w:eastAsia="zh-CN"/>
              </w:rPr>
              <w:t>14</w:t>
            </w:r>
            <w:r>
              <w:rPr>
                <w:rFonts w:hint="eastAsia" w:ascii="宋体" w:hAnsi="宋体" w:cs="宋体"/>
                <w:sz w:val="21"/>
                <w:highlight w:val="none"/>
              </w:rPr>
              <w:t>项。所有通过初步评审合格比选申请人的有效比选申请分项报价与该项评审分项基准价相等得满分，与该项评审分项基准价相比，每增加1%在</w:t>
            </w:r>
            <w:r>
              <w:rPr>
                <w:rFonts w:hint="eastAsia" w:ascii="宋体" w:hAnsi="宋体" w:cs="宋体"/>
                <w:sz w:val="21"/>
                <w:highlight w:val="none"/>
                <w:u w:val="single"/>
              </w:rPr>
              <w:t>1</w:t>
            </w:r>
            <w:r>
              <w:rPr>
                <w:rFonts w:hint="eastAsia" w:ascii="宋体" w:hAnsi="宋体" w:cs="宋体"/>
                <w:sz w:val="21"/>
                <w:highlight w:val="none"/>
              </w:rPr>
              <w:t>分的基础上扣0.</w:t>
            </w:r>
            <w:r>
              <w:rPr>
                <w:rFonts w:hint="eastAsia" w:ascii="宋体" w:hAnsi="宋体" w:cs="宋体"/>
                <w:sz w:val="21"/>
                <w:highlight w:val="none"/>
                <w:lang w:val="en-US" w:eastAsia="zh-CN"/>
              </w:rPr>
              <w:t>02</w:t>
            </w:r>
            <w:r>
              <w:rPr>
                <w:rFonts w:hint="eastAsia" w:ascii="宋体" w:hAnsi="宋体" w:cs="宋体"/>
                <w:sz w:val="21"/>
                <w:highlight w:val="none"/>
              </w:rPr>
              <w:t>分，扣完为止。</w:t>
            </w:r>
          </w:p>
          <w:p>
            <w:pPr>
              <w:numPr>
                <w:ilvl w:val="-1"/>
                <w:numId w:val="0"/>
              </w:numPr>
              <w:spacing w:line="300" w:lineRule="exact"/>
              <w:rPr>
                <w:rFonts w:hint="eastAsia" w:ascii="宋体" w:hAnsi="宋体" w:eastAsia="宋体" w:cs="宋体"/>
                <w:color w:val="auto"/>
                <w:kern w:val="0"/>
                <w:highlight w:val="none"/>
              </w:rPr>
            </w:pPr>
            <w:r>
              <w:rPr>
                <w:rFonts w:hint="eastAsia" w:ascii="宋体" w:hAnsi="宋体" w:cs="宋体"/>
                <w:sz w:val="21"/>
                <w:highlight w:val="none"/>
              </w:rPr>
              <w:t>（按插入法计算得分；以上计算取小数点后两位，第三位四舍五入）</w:t>
            </w:r>
            <w:r>
              <w:rPr>
                <w:rFonts w:hint="eastAsia" w:ascii="宋体" w:hAnsi="宋体" w:cs="宋体"/>
                <w:kern w:val="0"/>
                <w:sz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7" w:hRule="atLeast"/>
          <w:jc w:val="center"/>
        </w:trPr>
        <w:tc>
          <w:tcPr>
            <w:tcW w:w="837" w:type="dxa"/>
            <w:vMerge w:val="restart"/>
            <w:shd w:val="clear" w:color="auto" w:fill="auto"/>
            <w:noWrap w:val="0"/>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highlight w:val="none"/>
              </w:rPr>
              <w:t>2.2.4</w:t>
            </w: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p>
        </w:tc>
        <w:tc>
          <w:tcPr>
            <w:tcW w:w="1153" w:type="dxa"/>
            <w:vMerge w:val="restart"/>
            <w:shd w:val="clear" w:color="auto" w:fill="auto"/>
            <w:noWrap w:val="0"/>
            <w:vAlign w:val="center"/>
          </w:tcPr>
          <w:p>
            <w:pPr>
              <w:spacing w:line="360" w:lineRule="exact"/>
              <w:jc w:val="center"/>
              <w:rPr>
                <w:rFonts w:hint="eastAsia" w:ascii="宋体" w:hAnsi="宋体" w:cs="宋体"/>
                <w:color w:val="auto"/>
                <w:highlight w:val="none"/>
              </w:rPr>
            </w:pPr>
            <w:r>
              <w:rPr>
                <w:rFonts w:hint="eastAsia" w:ascii="宋体" w:hAnsi="宋体" w:cs="宋体"/>
                <w:color w:val="auto"/>
                <w:highlight w:val="none"/>
              </w:rPr>
              <w:t>技术部分</w:t>
            </w:r>
          </w:p>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w:t>
            </w:r>
            <w:r>
              <w:rPr>
                <w:rFonts w:hint="eastAsia" w:ascii="宋体" w:hAnsi="宋体" w:cs="宋体"/>
                <w:color w:val="auto"/>
                <w:highlight w:val="none"/>
                <w:lang w:val="en-US" w:eastAsia="zh-CN"/>
              </w:rPr>
              <w:t>40</w:t>
            </w:r>
            <w:r>
              <w:rPr>
                <w:rFonts w:hint="eastAsia" w:ascii="宋体" w:hAnsi="宋体" w:cs="宋体"/>
                <w:color w:val="auto"/>
                <w:highlight w:val="none"/>
              </w:rPr>
              <w:t>分）</w:t>
            </w:r>
          </w:p>
        </w:tc>
        <w:tc>
          <w:tcPr>
            <w:tcW w:w="1481" w:type="dxa"/>
            <w:tcBorders>
              <w:bottom w:val="single" w:color="auto" w:sz="4" w:space="0"/>
              <w:right w:val="single" w:color="auto" w:sz="4" w:space="0"/>
            </w:tcBorders>
            <w:shd w:val="clear" w:color="auto" w:fill="FFFFFF"/>
            <w:noWrap w:val="0"/>
            <w:vAlign w:val="center"/>
          </w:tcPr>
          <w:p>
            <w:pPr>
              <w:snapToGrid w:val="0"/>
              <w:ind w:left="420" w:leftChars="0" w:hanging="420" w:hangingChars="200"/>
              <w:rPr>
                <w:rFonts w:hint="default" w:ascii="宋体" w:hAnsi="宋体" w:eastAsia="宋体" w:cs="宋体"/>
                <w:color w:val="000000"/>
                <w:kern w:val="0"/>
                <w:sz w:val="21"/>
                <w:szCs w:val="21"/>
                <w:highlight w:val="none"/>
                <w:lang w:val="en-US" w:eastAsia="zh-CN" w:bidi="ar-SA"/>
              </w:rPr>
            </w:pPr>
            <w:r>
              <w:rPr>
                <w:rFonts w:hint="eastAsia" w:ascii="宋体" w:hAnsi="宋体"/>
                <w:kern w:val="0"/>
                <w:highlight w:val="none"/>
              </w:rPr>
              <w:t>项目实施方案</w:t>
            </w:r>
            <w:r>
              <w:rPr>
                <w:rFonts w:hint="eastAsia" w:ascii="宋体" w:hAnsi="宋体" w:cs="宋体"/>
                <w:snapToGrid w:val="0"/>
                <w:kern w:val="0"/>
                <w:highlight w:val="none"/>
              </w:rPr>
              <w:t>（20分）</w:t>
            </w:r>
          </w:p>
        </w:tc>
        <w:tc>
          <w:tcPr>
            <w:tcW w:w="6328" w:type="dxa"/>
            <w:tcBorders>
              <w:left w:val="single" w:color="auto" w:sz="4" w:space="0"/>
              <w:bottom w:val="single" w:color="auto" w:sz="4" w:space="0"/>
            </w:tcBorders>
            <w:shd w:val="clear" w:color="auto" w:fill="FFFFFF"/>
            <w:noWrap w:val="0"/>
            <w:vAlign w:val="center"/>
          </w:tcPr>
          <w:p>
            <w:pPr>
              <w:pStyle w:val="16"/>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比选申请人结合本项目理解提供实施方案（内容包含：①产品技术执行标准及环保标准、②产品运输方案、③项目时间进度安排方案、④产品紧急供货方案、⑤安装方案、⑥现场安装注意事项、⑦售后服务方案、⑧人员配置方案、⑨质保期服务计划（产包括产品后期日常维护方案）、⑨本地备品备件方案、⑩故障报修响应时效。</w:t>
            </w:r>
          </w:p>
          <w:p>
            <w:pPr>
              <w:pStyle w:val="16"/>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本项满分为20分，根据</w:t>
            </w:r>
            <w:r>
              <w:rPr>
                <w:rFonts w:hint="eastAsia" w:ascii="宋体" w:hAnsi="宋体" w:cs="宋体"/>
                <w:sz w:val="21"/>
                <w:highlight w:val="none"/>
                <w:lang w:eastAsia="zh-CN"/>
              </w:rPr>
              <w:t>比选申请人</w:t>
            </w:r>
            <w:r>
              <w:rPr>
                <w:rFonts w:hint="eastAsia" w:ascii="宋体" w:hAnsi="宋体" w:cs="宋体"/>
                <w:sz w:val="21"/>
                <w:highlight w:val="none"/>
              </w:rPr>
              <w:t>方案编制情况，采取综合量化评审：</w:t>
            </w:r>
          </w:p>
          <w:p>
            <w:pPr>
              <w:pStyle w:val="16"/>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1.方案说明详细、准确、针对性强、符合要求的为优，得14（含）-20分；</w:t>
            </w:r>
          </w:p>
          <w:p>
            <w:pPr>
              <w:pStyle w:val="16"/>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2.方案说明较为详细、较为准确、具有针对性、较符合要求的为良，得7（含）-14分；</w:t>
            </w:r>
          </w:p>
          <w:p>
            <w:pPr>
              <w:pStyle w:val="16"/>
              <w:snapToGrid w:val="0"/>
              <w:spacing w:after="0"/>
              <w:ind w:left="0" w:leftChars="0" w:firstLine="420" w:firstLineChars="200"/>
              <w:rPr>
                <w:rFonts w:ascii="宋体" w:hAnsi="宋体" w:cs="宋体"/>
                <w:sz w:val="21"/>
                <w:highlight w:val="none"/>
              </w:rPr>
            </w:pPr>
            <w:r>
              <w:rPr>
                <w:rFonts w:hint="eastAsia" w:ascii="宋体" w:hAnsi="宋体" w:cs="宋体"/>
                <w:sz w:val="21"/>
                <w:highlight w:val="none"/>
              </w:rPr>
              <w:t>3.方案说明详细度、准确度、有一定针对性、和符合要求的程度一般的，得0-7分；</w:t>
            </w:r>
          </w:p>
          <w:p>
            <w:pPr>
              <w:pStyle w:val="16"/>
              <w:snapToGrid w:val="0"/>
              <w:spacing w:after="0"/>
              <w:ind w:left="0" w:leftChars="0" w:firstLine="420" w:firstLineChars="200"/>
              <w:rPr>
                <w:rFonts w:hint="default" w:ascii="宋体" w:hAnsi="宋体" w:eastAsia="宋体" w:cs="宋体"/>
                <w:color w:val="000000"/>
                <w:kern w:val="0"/>
                <w:sz w:val="21"/>
                <w:szCs w:val="21"/>
                <w:highlight w:val="none"/>
                <w:lang w:val="en-US" w:eastAsia="zh-CN" w:bidi="ar-SA"/>
              </w:rPr>
            </w:pPr>
            <w:r>
              <w:rPr>
                <w:rFonts w:hint="eastAsia" w:ascii="宋体" w:hAnsi="宋体" w:cs="宋体"/>
                <w:sz w:val="21"/>
                <w:highlight w:val="none"/>
              </w:rPr>
              <w:t>4.方案内容和本项项目无关或未提供的不得分。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5" w:hRule="atLeast"/>
          <w:jc w:val="center"/>
        </w:trPr>
        <w:tc>
          <w:tcPr>
            <w:tcW w:w="837" w:type="dxa"/>
            <w:vMerge w:val="continue"/>
            <w:shd w:val="clear" w:color="auto" w:fill="auto"/>
            <w:noWrap w:val="0"/>
            <w:vAlign w:val="center"/>
          </w:tcPr>
          <w:p>
            <w:pPr>
              <w:spacing w:line="360" w:lineRule="exact"/>
              <w:jc w:val="center"/>
              <w:rPr>
                <w:rFonts w:hint="eastAsia" w:ascii="宋体" w:hAnsi="宋体"/>
                <w:color w:val="auto"/>
                <w:highlight w:val="none"/>
              </w:rPr>
            </w:pPr>
          </w:p>
        </w:tc>
        <w:tc>
          <w:tcPr>
            <w:tcW w:w="1153" w:type="dxa"/>
            <w:vMerge w:val="continue"/>
            <w:shd w:val="clear" w:color="auto" w:fill="auto"/>
            <w:noWrap w:val="0"/>
            <w:vAlign w:val="center"/>
          </w:tcPr>
          <w:p>
            <w:pPr>
              <w:spacing w:line="360" w:lineRule="exact"/>
              <w:jc w:val="center"/>
              <w:rPr>
                <w:rFonts w:hint="eastAsia" w:ascii="宋体" w:hAnsi="宋体" w:cs="宋体"/>
                <w:color w:val="auto"/>
                <w:highlight w:val="none"/>
              </w:rPr>
            </w:pPr>
          </w:p>
        </w:tc>
        <w:tc>
          <w:tcPr>
            <w:tcW w:w="1481" w:type="dxa"/>
            <w:tcBorders>
              <w:top w:val="single" w:color="auto" w:sz="4" w:space="0"/>
              <w:bottom w:val="single" w:color="auto" w:sz="4" w:space="0"/>
              <w:right w:val="single" w:color="auto" w:sz="4" w:space="0"/>
            </w:tcBorders>
            <w:shd w:val="clear" w:color="auto" w:fill="FFFFFF"/>
            <w:noWrap w:val="0"/>
            <w:vAlign w:val="center"/>
          </w:tcPr>
          <w:p>
            <w:pPr>
              <w:snapToGrid w:val="0"/>
              <w:ind w:left="420" w:leftChars="100" w:hanging="210" w:hangingChars="100"/>
              <w:rPr>
                <w:rFonts w:ascii="宋体" w:hAnsi="宋体"/>
                <w:kern w:val="0"/>
                <w:highlight w:val="none"/>
              </w:rPr>
            </w:pPr>
            <w:r>
              <w:rPr>
                <w:rFonts w:hint="eastAsia" w:ascii="宋体" w:hAnsi="宋体"/>
                <w:kern w:val="0"/>
                <w:highlight w:val="none"/>
              </w:rPr>
              <w:t>样品评审</w:t>
            </w:r>
          </w:p>
          <w:p>
            <w:pPr>
              <w:snapToGrid w:val="0"/>
              <w:ind w:left="420" w:leftChars="100" w:hanging="210" w:hangingChars="100"/>
              <w:rPr>
                <w:rFonts w:hint="default" w:ascii="宋体" w:hAnsi="宋体" w:eastAsia="宋体" w:cs="宋体"/>
                <w:color w:val="000000"/>
                <w:kern w:val="2"/>
                <w:sz w:val="21"/>
                <w:szCs w:val="21"/>
                <w:highlight w:val="none"/>
                <w:lang w:val="en-US" w:eastAsia="zh-CN" w:bidi="ar-SA"/>
              </w:rPr>
            </w:pPr>
            <w:r>
              <w:rPr>
                <w:rFonts w:hint="eastAsia" w:ascii="宋体" w:hAnsi="宋体"/>
                <w:kern w:val="0"/>
                <w:highlight w:val="none"/>
              </w:rPr>
              <w:t>（</w:t>
            </w:r>
            <w:r>
              <w:rPr>
                <w:rFonts w:hint="eastAsia" w:ascii="宋体" w:hAnsi="宋体"/>
                <w:kern w:val="0"/>
                <w:highlight w:val="none"/>
                <w:lang w:val="en-US" w:eastAsia="zh-CN"/>
              </w:rPr>
              <w:t>20</w:t>
            </w:r>
            <w:r>
              <w:rPr>
                <w:rFonts w:hint="eastAsia" w:ascii="宋体" w:hAnsi="宋体"/>
                <w:kern w:val="0"/>
                <w:highlight w:val="none"/>
              </w:rPr>
              <w:t>分）</w:t>
            </w:r>
          </w:p>
        </w:tc>
        <w:tc>
          <w:tcPr>
            <w:tcW w:w="6328" w:type="dxa"/>
            <w:tcBorders>
              <w:top w:val="single" w:color="auto" w:sz="4" w:space="0"/>
              <w:left w:val="single" w:color="auto" w:sz="4" w:space="0"/>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highlight w:val="none"/>
                <w:lang w:val="en-US" w:eastAsia="zh-CN"/>
              </w:rPr>
            </w:pPr>
            <w:r>
              <w:rPr>
                <w:rFonts w:hint="eastAsia"/>
                <w:highlight w:val="none"/>
                <w:lang w:val="en-US" w:eastAsia="zh-CN"/>
              </w:rPr>
              <w:t>比选申请人自行提供家具样品（要求所提供样品的基础类型至少包括：会议桌、会议椅、会议桌套、会议椅套、餐桌），</w:t>
            </w:r>
            <w:r>
              <w:rPr>
                <w:rFonts w:hint="eastAsia" w:ascii="宋体" w:hAnsi="宋体" w:cs="宋体"/>
                <w:highlight w:val="none"/>
                <w:lang w:val="en-US" w:eastAsia="zh-CN"/>
              </w:rPr>
              <w:t>家居风格须与采购清单参照式样图片相近或类似</w:t>
            </w:r>
            <w:r>
              <w:rPr>
                <w:rFonts w:hint="eastAsia"/>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注：</w:t>
            </w:r>
            <w:r>
              <w:rPr>
                <w:rFonts w:hint="eastAsia" w:ascii="Times New Roman" w:hAnsi="Times New Roman" w:eastAsia="宋体" w:cs="Times New Roman"/>
                <w:kern w:val="2"/>
                <w:sz w:val="21"/>
                <w:szCs w:val="21"/>
                <w:highlight w:val="none"/>
                <w:lang w:val="en-US" w:eastAsia="zh-CN" w:bidi="ar-SA"/>
              </w:rPr>
              <w:t>若比选申请人提供的基础类型样品不足5</w:t>
            </w:r>
            <w:r>
              <w:rPr>
                <w:rFonts w:hint="eastAsia" w:ascii="Times New Roman" w:hAnsi="Times New Roman" w:cs="Times New Roman"/>
                <w:kern w:val="2"/>
                <w:sz w:val="21"/>
                <w:szCs w:val="21"/>
                <w:highlight w:val="none"/>
                <w:lang w:val="en-US" w:eastAsia="zh-CN" w:bidi="ar-SA"/>
              </w:rPr>
              <w:t>项</w:t>
            </w:r>
            <w:r>
              <w:rPr>
                <w:rFonts w:hint="eastAsia" w:ascii="Times New Roman" w:hAnsi="Times New Roman" w:eastAsia="宋体" w:cs="Times New Roman"/>
                <w:kern w:val="2"/>
                <w:sz w:val="21"/>
                <w:szCs w:val="21"/>
                <w:highlight w:val="none"/>
                <w:lang w:val="en-US" w:eastAsia="zh-CN" w:bidi="ar-SA"/>
              </w:rPr>
              <w:t>（即未按要求提供全部5</w:t>
            </w:r>
            <w:r>
              <w:rPr>
                <w:rFonts w:hint="eastAsia" w:ascii="Times New Roman" w:hAnsi="Times New Roman" w:cs="Times New Roman"/>
                <w:kern w:val="2"/>
                <w:sz w:val="21"/>
                <w:szCs w:val="21"/>
                <w:highlight w:val="none"/>
                <w:lang w:val="en-US" w:eastAsia="zh-CN" w:bidi="ar-SA"/>
              </w:rPr>
              <w:t>项</w:t>
            </w:r>
            <w:r>
              <w:rPr>
                <w:rFonts w:hint="eastAsia" w:ascii="Times New Roman" w:hAnsi="Times New Roman" w:eastAsia="宋体" w:cs="Times New Roman"/>
                <w:kern w:val="2"/>
                <w:sz w:val="21"/>
                <w:szCs w:val="21"/>
                <w:highlight w:val="none"/>
                <w:lang w:val="en-US" w:eastAsia="zh-CN" w:bidi="ar-SA"/>
              </w:rPr>
              <w:t>基础样品），评审委员会将按“实际提供</w:t>
            </w:r>
            <w:r>
              <w:rPr>
                <w:rFonts w:hint="eastAsia" w:ascii="Times New Roman" w:hAnsi="Times New Roman" w:cs="Times New Roman"/>
                <w:kern w:val="2"/>
                <w:sz w:val="21"/>
                <w:szCs w:val="21"/>
                <w:highlight w:val="none"/>
                <w:lang w:val="en-US" w:eastAsia="zh-CN" w:bidi="ar-SA"/>
              </w:rPr>
              <w:t>且符合要求的</w:t>
            </w:r>
            <w:r>
              <w:rPr>
                <w:rFonts w:hint="eastAsia" w:ascii="Times New Roman" w:hAnsi="Times New Roman" w:eastAsia="宋体" w:cs="Times New Roman"/>
                <w:kern w:val="2"/>
                <w:sz w:val="21"/>
                <w:szCs w:val="21"/>
                <w:highlight w:val="none"/>
                <w:lang w:val="en-US" w:eastAsia="zh-CN" w:bidi="ar-SA"/>
              </w:rPr>
              <w:t>基础样品数量/5”的比例对本评分项第</w:t>
            </w:r>
            <w:r>
              <w:rPr>
                <w:rFonts w:hint="eastAsia" w:ascii="Times New Roman" w:hAnsi="Times New Roman" w:cs="Times New Roman"/>
                <w:kern w:val="2"/>
                <w:sz w:val="21"/>
                <w:szCs w:val="21"/>
                <w:highlight w:val="none"/>
                <w:lang w:val="en-US" w:eastAsia="zh-CN" w:bidi="ar-SA"/>
              </w:rPr>
              <w:t>1条</w:t>
            </w:r>
            <w:r>
              <w:rPr>
                <w:rFonts w:hint="eastAsia" w:ascii="Times New Roman" w:hAnsi="Times New Roman" w:eastAsia="宋体" w:cs="Times New Roman"/>
                <w:kern w:val="2"/>
                <w:sz w:val="21"/>
                <w:szCs w:val="21"/>
                <w:highlight w:val="none"/>
                <w:lang w:val="en-US" w:eastAsia="zh-CN" w:bidi="ar-SA"/>
              </w:rPr>
              <w:t>的得分进行折算（例：实际提供3类</w:t>
            </w:r>
            <w:r>
              <w:rPr>
                <w:rFonts w:hint="eastAsia" w:ascii="Times New Roman" w:hAnsi="Times New Roman" w:cs="Times New Roman"/>
                <w:kern w:val="2"/>
                <w:sz w:val="21"/>
                <w:szCs w:val="21"/>
                <w:highlight w:val="none"/>
                <w:lang w:val="en-US" w:eastAsia="zh-CN" w:bidi="ar-SA"/>
              </w:rPr>
              <w:t>符合清单要求的</w:t>
            </w:r>
            <w:r>
              <w:rPr>
                <w:rFonts w:hint="eastAsia" w:ascii="Times New Roman" w:hAnsi="Times New Roman" w:eastAsia="宋体" w:cs="Times New Roman"/>
                <w:kern w:val="2"/>
                <w:sz w:val="21"/>
                <w:szCs w:val="21"/>
                <w:highlight w:val="none"/>
                <w:lang w:val="en-US" w:eastAsia="zh-CN" w:bidi="ar-SA"/>
              </w:rPr>
              <w:t>基础样品，折算比例为3/5=60%，第</w:t>
            </w:r>
            <w:r>
              <w:rPr>
                <w:rFonts w:hint="eastAsia" w:ascii="Times New Roman" w:hAnsi="Times New Roman" w:cs="Times New Roman"/>
                <w:kern w:val="2"/>
                <w:sz w:val="21"/>
                <w:szCs w:val="21"/>
                <w:highlight w:val="none"/>
                <w:lang w:val="en-US" w:eastAsia="zh-CN" w:bidi="ar-SA"/>
              </w:rPr>
              <w:t>1</w:t>
            </w:r>
            <w:r>
              <w:rPr>
                <w:rFonts w:hint="eastAsia" w:ascii="Times New Roman" w:hAnsi="Times New Roman" w:eastAsia="宋体" w:cs="Times New Roman"/>
                <w:kern w:val="2"/>
                <w:sz w:val="21"/>
                <w:szCs w:val="21"/>
                <w:highlight w:val="none"/>
                <w:lang w:val="en-US" w:eastAsia="zh-CN" w:bidi="ar-SA"/>
              </w:rPr>
              <w:t>条评分后按此比例</w:t>
            </w:r>
            <w:r>
              <w:rPr>
                <w:rFonts w:hint="eastAsia" w:ascii="Times New Roman" w:hAnsi="Times New Roman" w:cs="Times New Roman"/>
                <w:kern w:val="2"/>
                <w:sz w:val="21"/>
                <w:szCs w:val="21"/>
                <w:highlight w:val="none"/>
                <w:lang w:val="en-US" w:eastAsia="zh-CN" w:bidi="ar-SA"/>
              </w:rPr>
              <w:t>计算最终得分，计算结果四舍五入保留整数</w:t>
            </w:r>
            <w:r>
              <w:rPr>
                <w:rFonts w:hint="eastAsia" w:ascii="Times New Roman" w:hAnsi="Times New Roman" w:eastAsia="宋体" w:cs="Times New Roman"/>
                <w:kern w:val="2"/>
                <w:sz w:val="21"/>
                <w:szCs w:val="21"/>
                <w:highlight w:val="none"/>
                <w:lang w:val="en-US" w:eastAsia="zh-CN" w:bidi="ar-SA"/>
              </w:rPr>
              <w:t>）；未提供任何基础类型样品的，</w:t>
            </w:r>
            <w:r>
              <w:rPr>
                <w:rFonts w:hint="eastAsia" w:ascii="Times New Roman" w:hAnsi="Times New Roman" w:cs="Times New Roman"/>
                <w:kern w:val="2"/>
                <w:sz w:val="21"/>
                <w:szCs w:val="21"/>
                <w:highlight w:val="none"/>
                <w:lang w:val="en-US" w:eastAsia="zh-CN" w:bidi="ar-SA"/>
              </w:rPr>
              <w:t>样品评审（20分）部分</w:t>
            </w:r>
            <w:r>
              <w:rPr>
                <w:rFonts w:hint="eastAsia" w:ascii="Times New Roman" w:hAnsi="Times New Roman" w:eastAsia="宋体" w:cs="Times New Roman"/>
                <w:kern w:val="2"/>
                <w:sz w:val="21"/>
                <w:szCs w:val="21"/>
                <w:highlight w:val="none"/>
                <w:lang w:val="en-US" w:eastAsia="zh-CN" w:bidi="ar-SA"/>
              </w:rPr>
              <w:t>得0分。</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eastAsia"/>
                <w:highlight w:val="none"/>
                <w:lang w:val="en-US" w:eastAsia="zh-CN"/>
              </w:rPr>
            </w:pPr>
            <w:r>
              <w:rPr>
                <w:rFonts w:hint="eastAsia"/>
                <w:highlight w:val="none"/>
                <w:lang w:val="en-US" w:eastAsia="zh-CN"/>
              </w:rPr>
              <w:t>评审小组根据比选申请人提供的基础类型样品（会议桌、会议椅、会议桌套、会议椅套、餐桌）的规格、款式、材质、加工工艺是否先进、风格是否适配等情况进行横向综合评比，样品质量好，与比选人现有家居风格适配得17-13（不含）分；样品质量较好，与比选人现有家居风格比较适配得13-9（不含）分；样品质量一般，与比选人现有家居风格基本适配得9-5（不含）分；样品质量较差，与比选人现有家居风格不适配得5-1分。</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color w:val="FF0000"/>
                <w:highlight w:val="none"/>
                <w:lang w:val="en-US" w:eastAsia="zh-CN"/>
              </w:rPr>
            </w:pPr>
            <w:r>
              <w:rPr>
                <w:rFonts w:hint="eastAsia"/>
                <w:color w:val="FF0000"/>
                <w:highlight w:val="none"/>
                <w:lang w:val="en-US" w:eastAsia="zh-CN"/>
              </w:rPr>
              <w:t>比选申请人提供样品齐全、符合基础类型要求得1分；</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400" w:lineRule="exact"/>
              <w:ind w:firstLine="420" w:firstLineChars="200"/>
              <w:jc w:val="left"/>
              <w:textAlignment w:val="auto"/>
              <w:rPr>
                <w:rFonts w:hint="default"/>
                <w:color w:val="FF0000"/>
                <w:highlight w:val="none"/>
                <w:lang w:val="en-US" w:eastAsia="zh-CN"/>
              </w:rPr>
            </w:pPr>
            <w:r>
              <w:rPr>
                <w:rFonts w:hint="eastAsia"/>
                <w:color w:val="FF0000"/>
                <w:highlight w:val="none"/>
                <w:lang w:val="en-US" w:eastAsia="zh-CN"/>
              </w:rPr>
              <w:t>比选申请人提供基础类型要求外其他清单内货物样品，每多一项多得0.5分，最多得2分。额外样品仅作为加分项计分，不参与第1条评比打分。</w:t>
            </w:r>
          </w:p>
          <w:p>
            <w:pPr>
              <w:pStyle w:val="8"/>
              <w:keepNext w:val="0"/>
              <w:keepLines w:val="0"/>
              <w:pageBreakBefore w:val="0"/>
              <w:kinsoku/>
              <w:wordWrap/>
              <w:overflowPunct/>
              <w:topLinePunct w:val="0"/>
              <w:autoSpaceDE/>
              <w:autoSpaceDN/>
              <w:bidi w:val="0"/>
              <w:adjustRightInd/>
              <w:snapToGrid/>
              <w:spacing w:beforeAutospacing="0" w:afterAutospacing="0" w:line="400" w:lineRule="exact"/>
              <w:ind w:firstLine="422" w:firstLineChars="200"/>
              <w:jc w:val="left"/>
              <w:textAlignment w:val="auto"/>
              <w:rPr>
                <w:rFonts w:hint="default"/>
                <w:highlight w:val="none"/>
                <w:lang w:val="en-US" w:eastAsia="zh-CN"/>
              </w:rPr>
            </w:pPr>
            <w:r>
              <w:rPr>
                <w:rFonts w:hint="eastAsia"/>
                <w:b/>
                <w:bCs/>
                <w:sz w:val="21"/>
                <w:szCs w:val="21"/>
                <w:highlight w:val="none"/>
              </w:rPr>
              <w:t>比选申请人现场提供的家具</w:t>
            </w:r>
            <w:r>
              <w:rPr>
                <w:rFonts w:hint="eastAsia" w:ascii="Times New Roman" w:hAnsi="Times New Roman" w:eastAsia="宋体" w:cs="Times New Roman"/>
                <w:b/>
                <w:bCs/>
                <w:kern w:val="2"/>
                <w:sz w:val="21"/>
                <w:szCs w:val="21"/>
                <w:highlight w:val="none"/>
                <w:lang w:val="en-US" w:eastAsia="zh-CN" w:bidi="ar-SA"/>
              </w:rPr>
              <w:t>样品</w:t>
            </w:r>
            <w:r>
              <w:rPr>
                <w:rFonts w:hint="eastAsia"/>
                <w:b/>
                <w:bCs/>
                <w:sz w:val="21"/>
                <w:szCs w:val="21"/>
                <w:highlight w:val="none"/>
              </w:rPr>
              <w:t>上须粘贴印有申请人单位名称的标识贴，以便评审委员会评审</w:t>
            </w:r>
            <w:r>
              <w:rPr>
                <w:rFonts w:hint="eastAsia"/>
                <w:sz w:val="21"/>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noWrap w:val="0"/>
            <w:vAlign w:val="top"/>
          </w:tcPr>
          <w:p>
            <w:pPr>
              <w:spacing w:line="360" w:lineRule="exact"/>
              <w:rPr>
                <w:rFonts w:ascii="宋体"/>
                <w:color w:val="auto"/>
                <w:kern w:val="0"/>
                <w:highlight w:val="none"/>
              </w:rPr>
            </w:pPr>
          </w:p>
        </w:tc>
        <w:tc>
          <w:tcPr>
            <w:tcW w:w="1153" w:type="dxa"/>
            <w:vMerge w:val="continue"/>
            <w:noWrap w:val="0"/>
            <w:vAlign w:val="top"/>
          </w:tcPr>
          <w:p>
            <w:pPr>
              <w:spacing w:line="360" w:lineRule="exact"/>
              <w:rPr>
                <w:rFonts w:ascii="宋体"/>
                <w:color w:val="auto"/>
                <w:kern w:val="0"/>
                <w:highlight w:val="none"/>
              </w:rPr>
            </w:pPr>
          </w:p>
        </w:tc>
        <w:tc>
          <w:tcPr>
            <w:tcW w:w="7809" w:type="dxa"/>
            <w:gridSpan w:val="2"/>
            <w:noWrap w:val="0"/>
            <w:vAlign w:val="center"/>
          </w:tcPr>
          <w:p>
            <w:pPr>
              <w:spacing w:line="300" w:lineRule="exact"/>
              <w:rPr>
                <w:rFonts w:hint="eastAsia" w:ascii="宋体" w:hAnsi="宋体" w:cs="宋体"/>
                <w:color w:val="auto"/>
                <w:kern w:val="0"/>
                <w:highlight w:val="none"/>
              </w:rPr>
            </w:pPr>
            <w:r>
              <w:rPr>
                <w:rFonts w:hint="eastAsia" w:ascii="宋体" w:hAnsi="宋体" w:cs="宋体"/>
                <w:color w:val="auto"/>
                <w:highlight w:val="none"/>
              </w:rPr>
              <w:t>注：技术部分最终结果取所有评委评分的平均值，</w:t>
            </w:r>
            <w:r>
              <w:rPr>
                <w:rFonts w:hint="eastAsia" w:ascii="宋体" w:hAnsi="宋体" w:cs="宋体"/>
                <w:color w:val="auto"/>
                <w:highlight w:val="none"/>
                <w:lang w:eastAsia="zh-CN"/>
              </w:rPr>
              <w:t>得分</w:t>
            </w:r>
            <w:r>
              <w:rPr>
                <w:rFonts w:hint="eastAsia" w:ascii="宋体" w:hAnsi="宋体" w:cs="宋体"/>
                <w:color w:val="auto"/>
                <w:highlight w:val="none"/>
              </w:rPr>
              <w:t>保留两位小数，第三位四舍五入。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restart"/>
            <w:shd w:val="clear" w:color="auto" w:fill="auto"/>
            <w:noWrap w:val="0"/>
            <w:vAlign w:val="center"/>
          </w:tcPr>
          <w:p>
            <w:pPr>
              <w:spacing w:line="360" w:lineRule="exact"/>
              <w:jc w:val="center"/>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2.2.4（3）</w:t>
            </w:r>
          </w:p>
        </w:tc>
        <w:tc>
          <w:tcPr>
            <w:tcW w:w="1153" w:type="dxa"/>
            <w:vMerge w:val="restart"/>
            <w:shd w:val="clear" w:color="auto" w:fill="auto"/>
            <w:noWrap w:val="0"/>
            <w:vAlign w:val="center"/>
          </w:tcPr>
          <w:p>
            <w:pPr>
              <w:spacing w:line="360" w:lineRule="exact"/>
              <w:jc w:val="center"/>
              <w:rPr>
                <w:rFonts w:hint="eastAsia" w:ascii="宋体" w:hAnsi="宋体" w:eastAsia="宋体" w:cs="宋体"/>
                <w:color w:val="auto"/>
                <w:kern w:val="2"/>
                <w:highlight w:val="none"/>
                <w:lang w:eastAsia="zh-CN"/>
              </w:rPr>
            </w:pPr>
            <w:r>
              <w:rPr>
                <w:rFonts w:hint="eastAsia" w:ascii="宋体" w:hAnsi="宋体" w:eastAsia="宋体" w:cs="宋体"/>
                <w:color w:val="auto"/>
                <w:kern w:val="2"/>
                <w:highlight w:val="none"/>
                <w:lang w:eastAsia="zh-CN"/>
              </w:rPr>
              <w:t>商务部分</w:t>
            </w:r>
          </w:p>
          <w:p>
            <w:pP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highlight w:val="none"/>
                <w:lang w:eastAsia="zh-CN"/>
              </w:rPr>
              <w:t>（</w:t>
            </w:r>
            <w:r>
              <w:rPr>
                <w:rFonts w:hint="eastAsia" w:ascii="宋体" w:hAnsi="宋体" w:cs="宋体"/>
                <w:color w:val="auto"/>
                <w:kern w:val="2"/>
                <w:highlight w:val="none"/>
                <w:lang w:val="en-US" w:eastAsia="zh-CN"/>
              </w:rPr>
              <w:t>1</w:t>
            </w:r>
            <w:r>
              <w:rPr>
                <w:rFonts w:hint="eastAsia" w:ascii="宋体" w:hAnsi="宋体" w:eastAsia="宋体" w:cs="宋体"/>
                <w:color w:val="auto"/>
                <w:kern w:val="2"/>
                <w:highlight w:val="none"/>
                <w:lang w:val="en-US" w:eastAsia="zh-CN"/>
              </w:rPr>
              <w:t>0分</w:t>
            </w:r>
            <w:r>
              <w:rPr>
                <w:rFonts w:hint="eastAsia" w:ascii="宋体" w:hAnsi="宋体" w:eastAsia="宋体" w:cs="宋体"/>
                <w:color w:val="auto"/>
                <w:kern w:val="2"/>
                <w:highlight w:val="none"/>
                <w:lang w:eastAsia="zh-CN"/>
              </w:rPr>
              <w:t>）</w:t>
            </w:r>
          </w:p>
        </w:tc>
        <w:tc>
          <w:tcPr>
            <w:tcW w:w="1481" w:type="dxa"/>
            <w:shd w:val="clear" w:color="auto" w:fill="FFFFFF"/>
            <w:noWrap w:val="0"/>
            <w:vAlign w:val="center"/>
          </w:tcPr>
          <w:p>
            <w:pPr>
              <w:snapToGrid w:val="0"/>
              <w:rPr>
                <w:rFonts w:hint="eastAsia" w:ascii="宋体" w:hAnsi="宋体" w:eastAsia="宋体" w:cs="宋体"/>
                <w:color w:val="000000"/>
                <w:kern w:val="0"/>
                <w:sz w:val="21"/>
                <w:szCs w:val="21"/>
                <w:highlight w:val="none"/>
                <w:lang w:val="en-US" w:eastAsia="zh-CN" w:bidi="ar-SA"/>
              </w:rPr>
            </w:pPr>
            <w:r>
              <w:rPr>
                <w:rFonts w:hint="eastAsia" w:ascii="宋体" w:hAnsi="宋体" w:cs="宋体"/>
                <w:color w:val="000000"/>
                <w:highlight w:val="none"/>
                <w:lang w:val="en-US" w:eastAsia="zh-CN"/>
              </w:rPr>
              <w:t>同类项目</w:t>
            </w:r>
            <w:r>
              <w:rPr>
                <w:rFonts w:hint="eastAsia" w:ascii="宋体" w:hAnsi="宋体" w:cs="宋体"/>
                <w:color w:val="000000"/>
                <w:highlight w:val="none"/>
              </w:rPr>
              <w:t>业绩（</w:t>
            </w:r>
            <w:r>
              <w:rPr>
                <w:rFonts w:hint="eastAsia" w:ascii="宋体" w:hAnsi="宋体" w:cs="宋体"/>
                <w:color w:val="000000"/>
                <w:highlight w:val="none"/>
                <w:lang w:val="en-US" w:eastAsia="zh-CN"/>
              </w:rPr>
              <w:t>8</w:t>
            </w:r>
            <w:r>
              <w:rPr>
                <w:rFonts w:hint="eastAsia" w:ascii="宋体" w:hAnsi="宋体" w:cs="宋体"/>
                <w:color w:val="000000"/>
                <w:highlight w:val="none"/>
              </w:rPr>
              <w:t>分）</w:t>
            </w:r>
          </w:p>
        </w:tc>
        <w:tc>
          <w:tcPr>
            <w:tcW w:w="6328" w:type="dxa"/>
            <w:shd w:val="clear" w:color="auto" w:fill="FFFFFF"/>
            <w:noWrap w:val="0"/>
            <w:vAlign w:val="center"/>
          </w:tcPr>
          <w:p>
            <w:pPr>
              <w:tabs>
                <w:tab w:val="left" w:pos="2300"/>
              </w:tabs>
              <w:snapToGrid w:val="0"/>
              <w:ind w:firstLine="420" w:firstLineChars="200"/>
              <w:rPr>
                <w:rFonts w:hint="eastAsia"/>
                <w:highlight w:val="none"/>
                <w:lang w:val="en-US" w:eastAsia="zh-CN"/>
              </w:rPr>
            </w:pPr>
            <w:r>
              <w:rPr>
                <w:rFonts w:hint="eastAsia"/>
                <w:highlight w:val="none"/>
              </w:rPr>
              <w:t>比选申请人自2022年1月1日起，至递交比选申请文件截止时间止，具有</w:t>
            </w:r>
            <w:r>
              <w:rPr>
                <w:rFonts w:hint="eastAsia"/>
                <w:b/>
                <w:bCs/>
                <w:highlight w:val="none"/>
              </w:rPr>
              <w:t>已完成交付且通过验收的</w:t>
            </w:r>
            <w:r>
              <w:rPr>
                <w:rFonts w:hint="eastAsia"/>
                <w:highlight w:val="none"/>
                <w:lang w:eastAsia="zh-CN"/>
              </w:rPr>
              <w:t>、</w:t>
            </w:r>
            <w:r>
              <w:rPr>
                <w:rFonts w:hint="eastAsia"/>
                <w:highlight w:val="none"/>
              </w:rPr>
              <w:t>合同金额</w:t>
            </w:r>
            <w:r>
              <w:rPr>
                <w:rFonts w:hint="eastAsia"/>
                <w:highlight w:val="none"/>
                <w:lang w:val="en-US" w:eastAsia="zh-CN"/>
              </w:rPr>
              <w:t>20</w:t>
            </w:r>
            <w:r>
              <w:rPr>
                <w:rFonts w:hint="eastAsia"/>
                <w:highlight w:val="none"/>
              </w:rPr>
              <w:t>万以上的家具供销业绩，每提供1个得</w:t>
            </w:r>
            <w:r>
              <w:rPr>
                <w:rFonts w:hint="eastAsia"/>
                <w:highlight w:val="none"/>
                <w:lang w:val="en-US" w:eastAsia="zh-CN"/>
              </w:rPr>
              <w:t>2</w:t>
            </w:r>
            <w:r>
              <w:rPr>
                <w:rFonts w:hint="eastAsia"/>
                <w:highlight w:val="none"/>
              </w:rPr>
              <w:t>分，本项最多得</w:t>
            </w:r>
            <w:r>
              <w:rPr>
                <w:rFonts w:hint="eastAsia"/>
                <w:highlight w:val="none"/>
                <w:lang w:val="en-US" w:eastAsia="zh-CN"/>
              </w:rPr>
              <w:t>8</w:t>
            </w:r>
            <w:r>
              <w:rPr>
                <w:rFonts w:hint="eastAsia"/>
                <w:highlight w:val="none"/>
              </w:rPr>
              <w:t>分（提供合同复印件</w:t>
            </w:r>
            <w:r>
              <w:rPr>
                <w:rFonts w:hint="eastAsia"/>
                <w:highlight w:val="none"/>
                <w:lang w:val="en-US" w:eastAsia="zh-CN"/>
              </w:rPr>
              <w:t>和</w:t>
            </w:r>
            <w:r>
              <w:rPr>
                <w:rFonts w:hint="eastAsia"/>
                <w:highlight w:val="none"/>
                <w:lang w:eastAsia="zh-CN"/>
              </w:rPr>
              <w:t>业绩完成证明材料（</w:t>
            </w:r>
            <w:r>
              <w:rPr>
                <w:rFonts w:hint="eastAsia"/>
                <w:highlight w:val="none"/>
                <w:lang w:val="en-US" w:eastAsia="zh-CN"/>
              </w:rPr>
              <w:t>证明材料指可以证明完成交付且通过验收的，包括但不限于经采购方签字确认的货物验收单、交付确认书等证明材料</w:t>
            </w:r>
            <w:r>
              <w:rPr>
                <w:rFonts w:hint="eastAsia"/>
                <w:highlight w:val="none"/>
                <w:lang w:eastAsia="zh-CN"/>
              </w:rPr>
              <w:t>）</w:t>
            </w:r>
            <w:r>
              <w:rPr>
                <w:rFonts w:hint="eastAsia"/>
                <w:highlight w:val="none"/>
              </w:rPr>
              <w:t>并加盖比选申请人公章（至少应提供：合同首页、金额页、合同标的页、签章页）</w:t>
            </w:r>
            <w:r>
              <w:rPr>
                <w:rFonts w:hint="eastAsia"/>
                <w:highlight w:val="none"/>
                <w:lang w:val="en-US" w:eastAsia="zh-CN"/>
              </w:rPr>
              <w:t>无法清晰体现合同主体、项目类别、合同金额的，不予计分。</w:t>
            </w:r>
            <w:r>
              <w:rPr>
                <w:rFonts w:hint="eastAsia"/>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vMerge w:val="continue"/>
            <w:shd w:val="clear" w:color="auto" w:fill="auto"/>
            <w:noWrap w:val="0"/>
            <w:vAlign w:val="center"/>
          </w:tcPr>
          <w:p>
            <w:pPr>
              <w:spacing w:line="360" w:lineRule="exact"/>
              <w:jc w:val="center"/>
              <w:rPr>
                <w:rFonts w:hint="eastAsia" w:ascii="宋体" w:hAnsi="宋体" w:cs="宋体"/>
                <w:color w:val="auto"/>
                <w:kern w:val="0"/>
                <w:highlight w:val="none"/>
                <w:lang w:val="en-US" w:eastAsia="zh-CN"/>
              </w:rPr>
            </w:pPr>
          </w:p>
        </w:tc>
        <w:tc>
          <w:tcPr>
            <w:tcW w:w="1153" w:type="dxa"/>
            <w:vMerge w:val="continue"/>
            <w:shd w:val="clear" w:color="auto" w:fill="auto"/>
            <w:noWrap w:val="0"/>
            <w:vAlign w:val="center"/>
          </w:tcPr>
          <w:p>
            <w:pPr>
              <w:spacing w:line="360" w:lineRule="exact"/>
              <w:jc w:val="center"/>
              <w:rPr>
                <w:rFonts w:hint="eastAsia" w:ascii="宋体" w:hAnsi="宋体" w:cs="宋体"/>
                <w:color w:val="auto"/>
                <w:kern w:val="0"/>
                <w:highlight w:val="none"/>
                <w:lang w:val="en-US" w:eastAsia="zh-CN"/>
              </w:rPr>
            </w:pPr>
          </w:p>
        </w:tc>
        <w:tc>
          <w:tcPr>
            <w:tcW w:w="1481" w:type="dxa"/>
            <w:tcBorders>
              <w:bottom w:val="single" w:color="auto" w:sz="4" w:space="0"/>
            </w:tcBorders>
            <w:shd w:val="clear" w:color="auto" w:fill="FFFFFF"/>
            <w:noWrap w:val="0"/>
            <w:vAlign w:val="center"/>
          </w:tcPr>
          <w:p>
            <w:pPr>
              <w:tabs>
                <w:tab w:val="left" w:pos="1875"/>
              </w:tabs>
              <w:snapToGrid w:val="0"/>
              <w:jc w:val="center"/>
              <w:rPr>
                <w:rFonts w:hint="eastAsia" w:ascii="宋体" w:hAnsi="宋体" w:cs="宋体"/>
                <w:color w:val="000000"/>
                <w:highlight w:val="none"/>
              </w:rPr>
            </w:pPr>
            <w:r>
              <w:rPr>
                <w:rFonts w:hint="eastAsia" w:ascii="宋体" w:hAnsi="宋体" w:cs="宋体"/>
                <w:kern w:val="0"/>
                <w:highlight w:val="none"/>
              </w:rPr>
              <w:t>质保期（2分）</w:t>
            </w:r>
          </w:p>
        </w:tc>
        <w:tc>
          <w:tcPr>
            <w:tcW w:w="6328" w:type="dxa"/>
            <w:shd w:val="clear" w:color="auto" w:fill="FFFFFF"/>
            <w:noWrap w:val="0"/>
            <w:vAlign w:val="center"/>
          </w:tcPr>
          <w:p>
            <w:pPr>
              <w:pStyle w:val="66"/>
              <w:numPr>
                <w:ilvl w:val="255"/>
                <w:numId w:val="0"/>
              </w:numPr>
              <w:snapToGrid w:val="0"/>
              <w:ind w:firstLine="420" w:firstLineChars="200"/>
              <w:rPr>
                <w:rFonts w:ascii="宋体" w:hAnsi="宋体"/>
                <w:highlight w:val="none"/>
              </w:rPr>
            </w:pPr>
            <w:r>
              <w:rPr>
                <w:rFonts w:hint="eastAsia" w:ascii="宋体" w:hAnsi="宋体"/>
                <w:highlight w:val="none"/>
              </w:rPr>
              <w:t>在比选文件规定的质保期基础上，比选申请人承诺质保期每增加</w:t>
            </w:r>
            <w:r>
              <w:rPr>
                <w:rFonts w:ascii="宋体" w:hAnsi="宋体"/>
                <w:highlight w:val="none"/>
              </w:rPr>
              <w:t>1</w:t>
            </w:r>
            <w:r>
              <w:rPr>
                <w:rFonts w:hint="eastAsia" w:ascii="宋体" w:hAnsi="宋体"/>
                <w:highlight w:val="none"/>
              </w:rPr>
              <w:t>年加1分，最多加2分。</w:t>
            </w:r>
          </w:p>
          <w:p>
            <w:pPr>
              <w:pStyle w:val="66"/>
              <w:numPr>
                <w:ilvl w:val="255"/>
                <w:numId w:val="0"/>
              </w:numPr>
              <w:snapToGrid w:val="0"/>
              <w:ind w:left="0" w:leftChars="0" w:firstLine="420" w:firstLineChars="200"/>
              <w:rPr>
                <w:rFonts w:hint="eastAsia" w:ascii="宋体" w:hAnsi="宋体" w:cs="宋体"/>
                <w:color w:val="000000"/>
                <w:kern w:val="0"/>
                <w:highlight w:val="none"/>
                <w:lang w:val="en-US" w:eastAsia="zh-CN"/>
              </w:rPr>
            </w:pPr>
            <w:r>
              <w:rPr>
                <w:rFonts w:hint="eastAsia" w:ascii="宋体" w:hAnsi="宋体"/>
                <w:highlight w:val="none"/>
              </w:rPr>
              <w:t>比选申请人须在第</w:t>
            </w:r>
            <w:r>
              <w:rPr>
                <w:rFonts w:hint="eastAsia" w:ascii="宋体" w:hAnsi="宋体"/>
                <w:highlight w:val="none"/>
                <w:lang w:val="en-US" w:eastAsia="zh-CN"/>
              </w:rPr>
              <w:t>四</w:t>
            </w:r>
            <w:r>
              <w:rPr>
                <w:rFonts w:hint="eastAsia" w:ascii="宋体" w:hAnsi="宋体"/>
                <w:highlight w:val="none"/>
              </w:rPr>
              <w:t>部分 响应文件格式</w:t>
            </w:r>
            <w:r>
              <w:rPr>
                <w:rFonts w:hint="eastAsia" w:ascii="宋体" w:hAnsi="宋体"/>
                <w:highlight w:val="none"/>
                <w:lang w:val="en-US" w:eastAsia="zh-CN"/>
              </w:rPr>
              <w:t>中的比选响应函部分填写质保期</w:t>
            </w:r>
            <w:r>
              <w:rPr>
                <w:rFonts w:hint="eastAsia" w:ascii="宋体" w:hAnsi="宋体"/>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noWrap w:val="0"/>
            <w:vAlign w:val="center"/>
          </w:tcPr>
          <w:p>
            <w:pPr>
              <w:spacing w:line="36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3</w:t>
            </w:r>
          </w:p>
        </w:tc>
        <w:tc>
          <w:tcPr>
            <w:tcW w:w="1153" w:type="dxa"/>
            <w:noWrap w:val="0"/>
            <w:vAlign w:val="center"/>
          </w:tcPr>
          <w:p>
            <w:pPr>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highlight w:val="none"/>
              </w:rPr>
              <w:t>比选申请人</w:t>
            </w:r>
            <w:r>
              <w:rPr>
                <w:rFonts w:hint="eastAsia" w:ascii="宋体" w:hAnsi="宋体" w:cs="宋体"/>
                <w:color w:val="auto"/>
                <w:kern w:val="0"/>
                <w:highlight w:val="none"/>
                <w:lang w:eastAsia="zh-CN"/>
              </w:rPr>
              <w:t>综合</w:t>
            </w:r>
            <w:r>
              <w:rPr>
                <w:rFonts w:hint="eastAsia" w:ascii="宋体" w:hAnsi="宋体" w:cs="宋体"/>
                <w:color w:val="auto"/>
                <w:kern w:val="0"/>
                <w:highlight w:val="none"/>
              </w:rPr>
              <w:t>得分</w:t>
            </w:r>
          </w:p>
        </w:tc>
        <w:tc>
          <w:tcPr>
            <w:tcW w:w="7809" w:type="dxa"/>
            <w:gridSpan w:val="2"/>
            <w:noWrap w:val="0"/>
            <w:vAlign w:val="center"/>
          </w:tcPr>
          <w:p>
            <w:pPr>
              <w:spacing w:line="300" w:lineRule="exact"/>
              <w:rPr>
                <w:rFonts w:hint="eastAsia" w:ascii="宋体" w:hAnsi="宋体" w:eastAsia="宋体" w:cs="宋体"/>
                <w:color w:val="auto"/>
                <w:kern w:val="0"/>
                <w:highlight w:val="none"/>
                <w:lang w:val="en-US" w:eastAsia="zh-CN"/>
              </w:rPr>
            </w:pPr>
            <w:r>
              <w:rPr>
                <w:rFonts w:hint="eastAsia" w:ascii="宋体" w:hAnsi="宋体" w:cs="宋体"/>
                <w:color w:val="auto"/>
                <w:highlight w:val="none"/>
                <w:lang w:eastAsia="zh-CN"/>
              </w:rPr>
              <w:t>综合</w:t>
            </w:r>
            <w:r>
              <w:rPr>
                <w:rFonts w:hint="eastAsia" w:ascii="宋体" w:hAnsi="宋体" w:cs="宋体"/>
                <w:color w:val="auto"/>
                <w:highlight w:val="none"/>
              </w:rPr>
              <w:t>得分=</w:t>
            </w:r>
            <w:r>
              <w:rPr>
                <w:rFonts w:hint="eastAsia" w:ascii="宋体" w:hAnsi="宋体" w:cs="宋体"/>
                <w:color w:val="auto"/>
                <w:highlight w:val="none"/>
                <w:lang w:eastAsia="zh-CN"/>
              </w:rPr>
              <w:t>响应报价</w:t>
            </w:r>
            <w:r>
              <w:rPr>
                <w:rFonts w:hint="eastAsia" w:ascii="宋体" w:hAnsi="宋体" w:cs="宋体"/>
                <w:color w:val="auto"/>
                <w:highlight w:val="none"/>
              </w:rPr>
              <w:t>得分+技术部分得分</w:t>
            </w:r>
            <w:r>
              <w:rPr>
                <w:rFonts w:hint="eastAsia" w:ascii="宋体" w:hAnsi="宋体" w:cs="宋体"/>
                <w:color w:val="auto"/>
                <w:highlight w:val="none"/>
                <w:lang w:val="en-US" w:eastAsia="zh-CN"/>
              </w:rPr>
              <w:t>+商务部分得分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7" w:type="dxa"/>
            <w:noWrap w:val="0"/>
            <w:vAlign w:val="center"/>
          </w:tcPr>
          <w:p>
            <w:pPr>
              <w:spacing w:line="360" w:lineRule="exact"/>
              <w:jc w:val="center"/>
              <w:rPr>
                <w:rFonts w:ascii="宋体" w:hAnsi="Times New Roman" w:eastAsia="宋体" w:cs="Times New Roman"/>
                <w:color w:val="auto"/>
                <w:kern w:val="0"/>
                <w:sz w:val="21"/>
                <w:szCs w:val="21"/>
                <w:highlight w:val="none"/>
                <w:lang w:val="en-US" w:eastAsia="zh-CN" w:bidi="ar-SA"/>
              </w:rPr>
            </w:pPr>
            <w:r>
              <w:rPr>
                <w:rFonts w:hint="eastAsia" w:ascii="宋体"/>
                <w:color w:val="auto"/>
                <w:kern w:val="0"/>
                <w:highlight w:val="none"/>
                <w:lang w:val="en-US" w:eastAsia="zh-CN"/>
              </w:rPr>
              <w:t>4</w:t>
            </w:r>
          </w:p>
        </w:tc>
        <w:tc>
          <w:tcPr>
            <w:tcW w:w="1153" w:type="dxa"/>
            <w:noWrap w:val="0"/>
            <w:vAlign w:val="center"/>
          </w:tcPr>
          <w:p>
            <w:pPr>
              <w:spacing w:line="360" w:lineRule="exact"/>
              <w:jc w:val="center"/>
              <w:rPr>
                <w:rFonts w:hint="eastAsia" w:ascii="宋体"/>
                <w:color w:val="auto"/>
                <w:kern w:val="0"/>
                <w:highlight w:val="none"/>
                <w:lang w:val="en-US" w:eastAsia="zh-CN"/>
              </w:rPr>
            </w:pPr>
            <w:r>
              <w:rPr>
                <w:rFonts w:hint="eastAsia" w:ascii="宋体"/>
                <w:color w:val="auto"/>
                <w:kern w:val="0"/>
                <w:highlight w:val="none"/>
              </w:rPr>
              <w:t>评审程序</w:t>
            </w:r>
          </w:p>
        </w:tc>
        <w:tc>
          <w:tcPr>
            <w:tcW w:w="7809" w:type="dxa"/>
            <w:gridSpan w:val="2"/>
            <w:noWrap w:val="0"/>
            <w:vAlign w:val="center"/>
          </w:tcPr>
          <w:p>
            <w:pPr>
              <w:keepNext w:val="0"/>
              <w:pageBreakBefore w:val="0"/>
              <w:widowControl/>
              <w:kinsoku/>
              <w:wordWrap/>
              <w:overflowPunct/>
              <w:topLinePunct w:val="0"/>
              <w:autoSpaceDE/>
              <w:autoSpaceDN/>
              <w:bidi w:val="0"/>
              <w:snapToGrid/>
              <w:spacing w:line="3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委员会根据竞争性比选文件的要求对比选申请人进行审查，不满足比选文件本部分（2.1.1、2.1.2、2.1.3）要求的不参与后续评审；满足比选文件要求的比选申请人进行后续评审，并推荐综合得分由高到低的顺序推荐前1-3名中选候选人。</w:t>
            </w:r>
          </w:p>
          <w:p>
            <w:pPr>
              <w:keepNext w:val="0"/>
              <w:pageBreakBefore w:val="0"/>
              <w:widowControl/>
              <w:kinsoku/>
              <w:wordWrap/>
              <w:overflowPunct/>
              <w:topLinePunct w:val="0"/>
              <w:autoSpaceDE/>
              <w:autoSpaceDN/>
              <w:bidi w:val="0"/>
              <w:snapToGrid/>
              <w:spacing w:line="300" w:lineRule="exact"/>
              <w:textAlignment w:val="auto"/>
              <w:rPr>
                <w:rFonts w:hint="eastAsia" w:ascii="宋体" w:hAnsi="宋体" w:cs="宋体"/>
                <w:color w:val="auto"/>
                <w:kern w:val="0"/>
                <w:highlight w:val="none"/>
              </w:rPr>
            </w:pPr>
            <w:r>
              <w:rPr>
                <w:rFonts w:hint="eastAsia" w:ascii="宋体" w:hAnsi="宋体" w:eastAsia="宋体" w:cs="宋体"/>
                <w:color w:val="auto"/>
                <w:kern w:val="0"/>
                <w:sz w:val="21"/>
                <w:szCs w:val="21"/>
                <w:highlight w:val="none"/>
                <w:lang w:val="en-US" w:eastAsia="zh-CN"/>
              </w:rPr>
              <w:t>若出现得分相同时，按本表第一条款原则推荐。</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cs="宋体"/>
          <w:b/>
          <w:bCs/>
          <w:color w:val="auto"/>
          <w:highlight w:val="none"/>
          <w:lang w:eastAsia="zh-CN"/>
        </w:rPr>
      </w:pPr>
      <w:r>
        <w:rPr>
          <w:rFonts w:hint="eastAsia" w:ascii="宋体" w:hAnsi="宋体" w:cs="宋体"/>
          <w:b/>
          <w:bCs/>
          <w:color w:val="auto"/>
          <w:highlight w:val="none"/>
          <w:lang w:eastAsia="zh-CN"/>
        </w:rPr>
        <w:t>九、评审结果公示</w:t>
      </w:r>
    </w:p>
    <w:p>
      <w:pPr>
        <w:pStyle w:val="40"/>
        <w:numPr>
          <w:ilvl w:val="0"/>
          <w:numId w:val="0"/>
        </w:numPr>
        <w:ind w:firstLine="420" w:firstLineChars="200"/>
        <w:rPr>
          <w:rFonts w:hint="default"/>
          <w:color w:val="auto"/>
          <w:highlight w:val="none"/>
          <w:lang w:val="en-US" w:eastAsia="zh-CN"/>
        </w:rPr>
      </w:pPr>
      <w:r>
        <w:rPr>
          <w:rFonts w:hint="eastAsia"/>
          <w:color w:val="auto"/>
          <w:highlight w:val="none"/>
          <w:lang w:val="en-US" w:eastAsia="zh-CN"/>
        </w:rPr>
        <w:t>本次比选评审结果公示在</w:t>
      </w:r>
      <w:r>
        <w:rPr>
          <w:rFonts w:hint="eastAsia" w:ascii="宋体" w:hAnsi="宋体" w:eastAsia="宋体" w:cs="宋体"/>
          <w:b w:val="0"/>
          <w:color w:val="auto"/>
          <w:sz w:val="21"/>
          <w:szCs w:val="21"/>
          <w:highlight w:val="none"/>
          <w:lang w:val="en-US" w:eastAsia="zh-CN"/>
        </w:rPr>
        <w:t>《中国招标投标公共服务平台（http://www.cebpubservice.com）》、《重庆国际投资咨询集团有限公司网站（www.cqiic.com）》和《咨采平台（http://www.zicaipingtai.com）》</w:t>
      </w:r>
      <w:r>
        <w:rPr>
          <w:rFonts w:hint="eastAsia" w:ascii="宋体" w:hAnsi="宋体" w:cs="宋体"/>
          <w:color w:val="auto"/>
          <w:spacing w:val="-11"/>
          <w:sz w:val="21"/>
          <w:highlight w:val="none"/>
          <w:lang w:eastAsia="zh-CN"/>
        </w:rPr>
        <w:t>网上发布，公示内容包括中</w:t>
      </w:r>
      <w:r>
        <w:rPr>
          <w:rFonts w:hint="eastAsia" w:ascii="宋体" w:hAnsi="宋体" w:cs="宋体"/>
          <w:color w:val="auto"/>
          <w:spacing w:val="-11"/>
          <w:sz w:val="21"/>
          <w:highlight w:val="none"/>
          <w:lang w:val="en-US" w:eastAsia="zh-CN"/>
        </w:rPr>
        <w:t>选</w:t>
      </w:r>
      <w:r>
        <w:rPr>
          <w:rFonts w:hint="eastAsia" w:ascii="宋体" w:hAnsi="宋体" w:cs="宋体"/>
          <w:color w:val="auto"/>
          <w:spacing w:val="-11"/>
          <w:sz w:val="21"/>
          <w:highlight w:val="none"/>
          <w:lang w:eastAsia="zh-CN"/>
        </w:rPr>
        <w:t>候选人名称、排序、</w:t>
      </w:r>
      <w:r>
        <w:rPr>
          <w:rFonts w:hint="eastAsia" w:ascii="宋体" w:hAnsi="宋体" w:cs="宋体"/>
          <w:color w:val="auto"/>
          <w:spacing w:val="-11"/>
          <w:sz w:val="21"/>
          <w:highlight w:val="none"/>
          <w:lang w:val="en-US" w:eastAsia="zh-CN"/>
        </w:rPr>
        <w:t>响应</w:t>
      </w:r>
      <w:r>
        <w:rPr>
          <w:rFonts w:hint="eastAsia" w:ascii="宋体" w:hAnsi="宋体" w:cs="宋体"/>
          <w:color w:val="auto"/>
          <w:spacing w:val="-11"/>
          <w:sz w:val="21"/>
          <w:highlight w:val="none"/>
          <w:lang w:eastAsia="zh-CN"/>
        </w:rPr>
        <w:t>报价；提出异议、投诉的渠道和方式。公示期为</w:t>
      </w:r>
      <w:r>
        <w:rPr>
          <w:rFonts w:hint="eastAsia" w:ascii="宋体" w:hAnsi="宋体" w:cs="宋体"/>
          <w:color w:val="auto"/>
          <w:spacing w:val="-11"/>
          <w:sz w:val="21"/>
          <w:highlight w:val="none"/>
          <w:lang w:val="en-US" w:eastAsia="zh-CN"/>
        </w:rPr>
        <w:t>3日。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auto"/>
          <w:highlight w:val="none"/>
        </w:rPr>
      </w:pPr>
      <w:r>
        <w:rPr>
          <w:rFonts w:hint="eastAsia" w:ascii="宋体" w:hAnsi="宋体" w:cs="宋体"/>
          <w:b/>
          <w:bCs/>
          <w:color w:val="auto"/>
          <w:highlight w:val="none"/>
          <w:lang w:eastAsia="zh-CN"/>
        </w:rPr>
        <w:t>十、</w:t>
      </w:r>
      <w:r>
        <w:rPr>
          <w:rFonts w:hint="eastAsia" w:ascii="宋体" w:hAnsi="宋体" w:cs="宋体"/>
          <w:b/>
          <w:bCs/>
          <w:color w:val="auto"/>
          <w:highlight w:val="none"/>
          <w:lang w:val="en-US" w:eastAsia="zh-CN"/>
        </w:rPr>
        <w:t>确定中选单位、</w:t>
      </w:r>
      <w:r>
        <w:rPr>
          <w:rFonts w:hint="eastAsia" w:ascii="宋体" w:hAnsi="宋体" w:cs="宋体"/>
          <w:b/>
          <w:bCs/>
          <w:color w:val="auto"/>
          <w:highlight w:val="none"/>
        </w:rPr>
        <w:t>重新选择中选单位说明</w:t>
      </w:r>
    </w:p>
    <w:p>
      <w:pPr>
        <w:pStyle w:val="40"/>
        <w:numPr>
          <w:ilvl w:val="0"/>
          <w:numId w:val="0"/>
        </w:numPr>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1.</w:t>
      </w:r>
      <w:r>
        <w:rPr>
          <w:rFonts w:ascii="Helvetica" w:hAnsi="Helvetica"/>
          <w:color w:val="666666"/>
          <w:highlight w:val="none"/>
        </w:rPr>
        <w:t>公示期间无异议的，</w:t>
      </w:r>
      <w:r>
        <w:rPr>
          <w:rFonts w:hint="eastAsia" w:ascii="宋体" w:hAnsi="宋体" w:cs="宋体"/>
          <w:color w:val="auto"/>
          <w:highlight w:val="none"/>
          <w:lang w:val="en-US" w:eastAsia="zh-CN"/>
        </w:rPr>
        <w:t>比选人根据推荐，在中选候选人中自主确定中选人，向中选人发出中选通知书。</w:t>
      </w:r>
    </w:p>
    <w:p>
      <w:pPr>
        <w:pStyle w:val="40"/>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宋体" w:hAnsi="宋体" w:cs="宋体"/>
          <w:color w:val="auto"/>
          <w:highlight w:val="none"/>
          <w:lang w:val="en-US" w:eastAsia="zh-CN"/>
        </w:rPr>
        <w:t>2.</w:t>
      </w:r>
      <w:r>
        <w:rPr>
          <w:rFonts w:hint="eastAsia" w:ascii="Times New Roman" w:hAnsi="Times New Roman" w:eastAsia="宋体" w:cs="Times New Roman"/>
          <w:color w:val="auto"/>
          <w:highlight w:val="none"/>
          <w:lang w:val="en-US" w:eastAsia="zh-CN"/>
        </w:rPr>
        <w:t>在合作期间，若中选单位不能按照比选文件或合同约定履约、自动退出的，比选人将解除合同。同时依法组织重新比选活动。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color w:val="auto"/>
          <w:highlight w:val="none"/>
        </w:rPr>
      </w:pPr>
      <w:r>
        <w:rPr>
          <w:rFonts w:hint="eastAsia" w:ascii="宋体" w:hAnsi="宋体" w:cs="宋体"/>
          <w:b/>
          <w:bCs/>
          <w:color w:val="auto"/>
          <w:highlight w:val="none"/>
        </w:rPr>
        <w:t>十</w:t>
      </w:r>
      <w:r>
        <w:rPr>
          <w:rFonts w:hint="eastAsia" w:ascii="宋体" w:hAnsi="宋体" w:cs="宋体"/>
          <w:b/>
          <w:bCs/>
          <w:color w:val="auto"/>
          <w:highlight w:val="none"/>
          <w:lang w:eastAsia="zh-CN"/>
        </w:rPr>
        <w:t>一</w:t>
      </w:r>
      <w:r>
        <w:rPr>
          <w:rFonts w:hint="eastAsia" w:ascii="宋体" w:hAnsi="宋体" w:cs="宋体"/>
          <w:b/>
          <w:bCs/>
          <w:color w:val="auto"/>
          <w:highlight w:val="none"/>
        </w:rPr>
        <w:t>、合同的签订</w:t>
      </w:r>
    </w:p>
    <w:p>
      <w:pPr>
        <w:pStyle w:val="40"/>
        <w:numPr>
          <w:ilvl w:val="0"/>
          <w:numId w:val="0"/>
        </w:numPr>
        <w:ind w:firstLine="420" w:firstLineChars="200"/>
        <w:rPr>
          <w:rFonts w:hint="eastAsia" w:ascii="宋体" w:hAnsi="宋体" w:eastAsia="宋体" w:cs="宋体"/>
          <w:color w:val="auto"/>
          <w:spacing w:val="-11"/>
          <w:sz w:val="21"/>
          <w:highlight w:val="none"/>
        </w:rPr>
      </w:pPr>
      <w:r>
        <w:rPr>
          <w:rFonts w:hint="eastAsia" w:ascii="Times New Roman" w:hAnsi="Times New Roman" w:eastAsia="宋体" w:cs="Times New Roman"/>
          <w:color w:val="auto"/>
          <w:highlight w:val="none"/>
          <w:lang w:val="en-US" w:eastAsia="zh-CN"/>
        </w:rPr>
        <w:t>中选人应当自中选通知书签章起</w:t>
      </w:r>
      <w:r>
        <w:rPr>
          <w:rFonts w:hint="eastAsia" w:cs="Times New Roman"/>
          <w:color w:val="auto"/>
          <w:highlight w:val="none"/>
          <w:lang w:val="en-US" w:eastAsia="zh-CN"/>
        </w:rPr>
        <w:t>30</w:t>
      </w:r>
      <w:r>
        <w:rPr>
          <w:rFonts w:hint="eastAsia" w:ascii="Times New Roman" w:hAnsi="Times New Roman" w:eastAsia="宋体" w:cs="Times New Roman"/>
          <w:color w:val="auto"/>
          <w:highlight w:val="none"/>
          <w:lang w:val="en-US" w:eastAsia="zh-CN"/>
        </w:rPr>
        <w:t>天内按比选文件合同模板和中选人的响应文件内容与比选人签订书面合同。中选人无正当理由拒签合同的或因中选人原因未在规定时间内签订合同的，比选人取消其中选资格，给比选人造成损失的，中选人</w:t>
      </w:r>
      <w:r>
        <w:rPr>
          <w:rFonts w:hint="eastAsia" w:ascii="宋体" w:hAnsi="宋体" w:eastAsia="宋体" w:cs="宋体"/>
          <w:color w:val="auto"/>
          <w:spacing w:val="-11"/>
          <w:sz w:val="21"/>
          <w:highlight w:val="none"/>
        </w:rPr>
        <w:t>还应当予以赔偿。如中选人未签订合同，比选人有权选择</w:t>
      </w:r>
      <w:r>
        <w:rPr>
          <w:rFonts w:hint="eastAsia" w:ascii="宋体" w:hAnsi="宋体" w:eastAsia="宋体" w:cs="宋体"/>
          <w:color w:val="auto"/>
          <w:spacing w:val="-11"/>
          <w:sz w:val="21"/>
          <w:highlight w:val="none"/>
          <w:lang w:val="en-US" w:eastAsia="zh-CN"/>
        </w:rPr>
        <w:t>其他</w:t>
      </w:r>
      <w:r>
        <w:rPr>
          <w:rFonts w:hint="eastAsia" w:ascii="宋体" w:hAnsi="宋体" w:eastAsia="宋体" w:cs="宋体"/>
          <w:color w:val="auto"/>
          <w:spacing w:val="-11"/>
          <w:sz w:val="21"/>
          <w:highlight w:val="none"/>
        </w:rPr>
        <w:t>中选候选人签订书面合同。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b/>
          <w:bCs/>
          <w:color w:val="auto"/>
          <w:highlight w:val="none"/>
        </w:rPr>
      </w:pPr>
      <w:r>
        <w:rPr>
          <w:rFonts w:hint="eastAsia" w:ascii="宋体" w:hAnsi="宋体" w:cs="宋体"/>
          <w:b/>
          <w:bCs/>
          <w:color w:val="auto"/>
          <w:highlight w:val="none"/>
        </w:rPr>
        <w:t>十</w:t>
      </w:r>
      <w:r>
        <w:rPr>
          <w:rFonts w:hint="eastAsia" w:ascii="宋体" w:hAnsi="宋体" w:cs="宋体"/>
          <w:b/>
          <w:bCs/>
          <w:color w:val="auto"/>
          <w:highlight w:val="none"/>
          <w:lang w:eastAsia="zh-CN"/>
        </w:rPr>
        <w:t>二</w:t>
      </w:r>
      <w:r>
        <w:rPr>
          <w:rFonts w:hint="eastAsia" w:ascii="宋体" w:hAnsi="宋体" w:cs="宋体"/>
          <w:b/>
          <w:bCs/>
          <w:color w:val="auto"/>
          <w:highlight w:val="none"/>
        </w:rPr>
        <w:t>、重新比选和不再比选</w:t>
      </w:r>
    </w:p>
    <w:p>
      <w:pPr>
        <w:pStyle w:val="40"/>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1、重新比选</w:t>
      </w:r>
    </w:p>
    <w:p>
      <w:pPr>
        <w:pStyle w:val="40"/>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有下列情形之一的，比选人将重新进行竞争性比选：</w:t>
      </w:r>
    </w:p>
    <w:p>
      <w:pPr>
        <w:pStyle w:val="40"/>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（1）比选截止时间止，比选申请人少于3个的；</w:t>
      </w:r>
    </w:p>
    <w:p>
      <w:pPr>
        <w:pStyle w:val="40"/>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（2）经评审委员会评审后否决所有比选申请的。</w:t>
      </w:r>
    </w:p>
    <w:p>
      <w:pPr>
        <w:pStyle w:val="40"/>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（3）经评审后，如合格的比选申请人少于三个的，且明显缺乏竞争的，评审委员会可以否决全部比选申请，比选人将重新组织比选；</w:t>
      </w:r>
    </w:p>
    <w:p>
      <w:pPr>
        <w:pStyle w:val="40"/>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（4）法律法规规定的其他情形。</w:t>
      </w:r>
    </w:p>
    <w:p>
      <w:pPr>
        <w:pStyle w:val="40"/>
        <w:numPr>
          <w:ilvl w:val="0"/>
          <w:numId w:val="0"/>
        </w:numPr>
        <w:ind w:firstLine="420" w:firstLineChars="200"/>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2、二次比选和不再比选</w:t>
      </w:r>
    </w:p>
    <w:p>
      <w:pPr>
        <w:pStyle w:val="40"/>
        <w:numPr>
          <w:ilvl w:val="0"/>
          <w:numId w:val="0"/>
        </w:numPr>
        <w:ind w:firstLine="420" w:firstLineChars="200"/>
        <w:rPr>
          <w:rFonts w:hint="default"/>
          <w:highlight w:val="none"/>
          <w:lang w:val="en-US" w:eastAsia="zh-CN"/>
        </w:rPr>
      </w:pPr>
      <w:r>
        <w:rPr>
          <w:rFonts w:hint="eastAsia" w:ascii="Times New Roman" w:hAnsi="Times New Roman" w:eastAsia="宋体" w:cs="Times New Roman"/>
          <w:color w:val="auto"/>
          <w:highlight w:val="none"/>
          <w:lang w:val="en-US" w:eastAsia="zh-CN"/>
        </w:rPr>
        <w:t>重新比选后比选申请人仍少于3个，按法定程序开标和评审，确定中选人。经评审无合格比选申请人，经比选人审批或者核准后不再进行比选。</w:t>
      </w:r>
    </w:p>
    <w:p>
      <w:pPr>
        <w:rPr>
          <w:rFonts w:hint="eastAsia" w:ascii="宋体" w:hAnsi="宋体" w:cs="宋体"/>
          <w:b/>
          <w:bCs/>
          <w:color w:val="auto"/>
          <w:sz w:val="28"/>
          <w:szCs w:val="28"/>
          <w:highlight w:val="none"/>
        </w:rPr>
      </w:pPr>
      <w:bookmarkStart w:id="57" w:name="OLE_LINK2"/>
      <w:bookmarkStart w:id="58" w:name="_Toc10840"/>
      <w:r>
        <w:rPr>
          <w:rFonts w:hint="eastAsia" w:ascii="宋体" w:hAnsi="宋体" w:cs="宋体"/>
          <w:b/>
          <w:bCs/>
          <w:color w:val="auto"/>
          <w:sz w:val="28"/>
          <w:szCs w:val="28"/>
          <w:highlight w:val="none"/>
        </w:rPr>
        <w:br w:type="page"/>
      </w:r>
    </w:p>
    <w:p>
      <w:pPr>
        <w:numPr>
          <w:ilvl w:val="0"/>
          <w:numId w:val="0"/>
        </w:numPr>
        <w:spacing w:line="360" w:lineRule="auto"/>
        <w:jc w:val="center"/>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w:t>
      </w:r>
      <w:r>
        <w:rPr>
          <w:rFonts w:hint="eastAsia" w:ascii="宋体" w:hAnsi="宋体" w:cs="宋体"/>
          <w:b/>
          <w:bCs/>
          <w:color w:val="auto"/>
          <w:sz w:val="28"/>
          <w:szCs w:val="28"/>
          <w:highlight w:val="none"/>
          <w:lang w:val="en-US" w:eastAsia="zh-CN"/>
        </w:rPr>
        <w:t>三</w:t>
      </w:r>
      <w:r>
        <w:rPr>
          <w:rFonts w:hint="eastAsia" w:ascii="宋体" w:hAnsi="宋体" w:cs="宋体"/>
          <w:b/>
          <w:bCs/>
          <w:color w:val="auto"/>
          <w:sz w:val="28"/>
          <w:szCs w:val="28"/>
          <w:highlight w:val="none"/>
        </w:rPr>
        <w:t>部分  合同条款及格式</w:t>
      </w:r>
    </w:p>
    <w:bookmarkEnd w:id="57"/>
    <w:bookmarkEnd w:id="58"/>
    <w:p>
      <w:pPr>
        <w:spacing w:line="560" w:lineRule="exact"/>
        <w:jc w:val="center"/>
        <w:rPr>
          <w:rFonts w:hint="eastAsia" w:ascii="方正小标宋_GBK" w:hAnsi="方正小标宋_GBK" w:eastAsia="方正小标宋_GBK" w:cs="方正小标宋_GBK"/>
          <w:bCs/>
          <w:sz w:val="40"/>
          <w:szCs w:val="40"/>
          <w:highlight w:val="none"/>
          <w:lang w:eastAsia="zh-CN"/>
        </w:rPr>
      </w:pPr>
      <w:bookmarkStart w:id="59" w:name="_Toc7047"/>
      <w:r>
        <w:rPr>
          <w:rFonts w:hint="eastAsia" w:ascii="方正小标宋_GBK" w:hAnsi="方正小标宋_GBK" w:eastAsia="方正小标宋_GBK" w:cs="方正小标宋_GBK"/>
          <w:bCs/>
          <w:sz w:val="40"/>
          <w:szCs w:val="40"/>
          <w:highlight w:val="none"/>
          <w:lang w:eastAsia="zh-CN"/>
        </w:rPr>
        <w:t>重咨集团2025年办公家具类采购</w:t>
      </w:r>
    </w:p>
    <w:p>
      <w:pPr>
        <w:spacing w:line="560" w:lineRule="exact"/>
        <w:jc w:val="center"/>
        <w:rPr>
          <w:rFonts w:hint="eastAsia" w:ascii="方正小标宋_GBK" w:hAnsi="方正小标宋_GBK" w:eastAsia="方正小标宋_GBK" w:cs="方正小标宋_GBK"/>
          <w:bCs/>
          <w:sz w:val="40"/>
          <w:szCs w:val="40"/>
          <w:highlight w:val="none"/>
          <w:lang w:val="en-US" w:eastAsia="zh-CN"/>
        </w:rPr>
      </w:pPr>
      <w:r>
        <w:rPr>
          <w:rFonts w:hint="eastAsia" w:ascii="方正小标宋_GBK" w:hAnsi="方正小标宋_GBK" w:eastAsia="方正小标宋_GBK" w:cs="方正小标宋_GBK"/>
          <w:bCs/>
          <w:sz w:val="40"/>
          <w:szCs w:val="40"/>
          <w:highlight w:val="none"/>
          <w:lang w:val="en-US" w:eastAsia="zh-CN"/>
        </w:rPr>
        <w:t>合同（范本）</w:t>
      </w:r>
    </w:p>
    <w:p>
      <w:pPr>
        <w:spacing w:line="440" w:lineRule="exact"/>
        <w:rPr>
          <w:rFonts w:hint="eastAsia" w:ascii="方正仿宋_GBK" w:hAnsi="方正仿宋_GBK" w:eastAsia="方正仿宋_GBK" w:cs="方正仿宋_GBK"/>
          <w:sz w:val="28"/>
          <w:szCs w:val="28"/>
          <w:highlight w:val="none"/>
        </w:rPr>
      </w:pPr>
    </w:p>
    <w:p>
      <w:pPr>
        <w:keepNext w:val="0"/>
        <w:keepLines w:val="0"/>
        <w:pageBreakBefore w:val="0"/>
        <w:kinsoku/>
        <w:wordWrap/>
        <w:overflowPunct/>
        <w:topLinePunct w:val="0"/>
        <w:bidi w:val="0"/>
        <w:snapToGrid/>
        <w:spacing w:line="400" w:lineRule="exact"/>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采购人（甲方）：</w:t>
      </w:r>
      <w:r>
        <w:rPr>
          <w:rFonts w:hint="eastAsia" w:ascii="方正仿宋_GBK" w:hAnsi="方正仿宋_GBK" w:eastAsia="方正仿宋_GBK" w:cs="方正仿宋_GBK"/>
          <w:sz w:val="28"/>
          <w:szCs w:val="28"/>
          <w:highlight w:val="none"/>
          <w:u w:val="single"/>
        </w:rPr>
        <w:t>重庆国际投资咨询集团有限公司</w:t>
      </w:r>
    </w:p>
    <w:p>
      <w:pPr>
        <w:keepNext w:val="0"/>
        <w:keepLines w:val="0"/>
        <w:pageBreakBefore w:val="0"/>
        <w:kinsoku/>
        <w:wordWrap/>
        <w:overflowPunct/>
        <w:topLinePunct w:val="0"/>
        <w:bidi w:val="0"/>
        <w:snapToGrid/>
        <w:spacing w:line="400" w:lineRule="exact"/>
        <w:textAlignment w:val="auto"/>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供应商（乙方）：</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ascii="方正仿宋_GBK" w:hAnsi="方正仿宋_GBK" w:eastAsia="方正仿宋_GBK" w:cs="方正仿宋_GBK"/>
          <w:sz w:val="28"/>
          <w:szCs w:val="28"/>
          <w:highlight w:val="none"/>
          <w:u w:val="single"/>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根据《中华人民共和国民法典》等相关法律法规，为明确双方责任，在平等、自愿、协商一致的基础上，双方就本协议有关事宜达成如下条款，并遵照执行。</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第一条：供货期限</w:t>
      </w:r>
    </w:p>
    <w:p>
      <w:pPr>
        <w:pStyle w:val="33"/>
        <w:keepNext w:val="0"/>
        <w:keepLines w:val="0"/>
        <w:pageBreakBefore w:val="0"/>
        <w:kinsoku/>
        <w:wordWrap/>
        <w:overflowPunct/>
        <w:topLinePunct w:val="0"/>
        <w:bidi w:val="0"/>
        <w:snapToGrid/>
        <w:spacing w:before="0" w:beforeAutospacing="0" w:after="0" w:afterAutospacing="0"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color w:val="000000"/>
          <w:sz w:val="28"/>
          <w:szCs w:val="28"/>
          <w:highlight w:val="none"/>
          <w:lang w:val="en-US" w:eastAsia="zh-CN"/>
        </w:rPr>
        <w:t>甲方</w:t>
      </w:r>
      <w:r>
        <w:rPr>
          <w:rFonts w:hint="eastAsia" w:ascii="方正仿宋_GBK" w:hAnsi="方正仿宋_GBK" w:eastAsia="方正仿宋_GBK" w:cs="方正仿宋_GBK"/>
          <w:color w:val="000000"/>
          <w:sz w:val="28"/>
          <w:szCs w:val="28"/>
          <w:highlight w:val="none"/>
        </w:rPr>
        <w:t>下单后</w:t>
      </w:r>
      <w:r>
        <w:rPr>
          <w:rFonts w:hint="eastAsia" w:ascii="方正仿宋_GBK" w:hAnsi="方正仿宋_GBK" w:eastAsia="方正仿宋_GBK" w:cs="方正仿宋_GBK"/>
          <w:color w:val="000000"/>
          <w:sz w:val="28"/>
          <w:szCs w:val="28"/>
          <w:highlight w:val="none"/>
          <w:u w:val="single"/>
          <w:lang w:val="en-US" w:eastAsia="zh-CN"/>
        </w:rPr>
        <w:t>25</w:t>
      </w:r>
      <w:r>
        <w:rPr>
          <w:rFonts w:hint="eastAsia" w:ascii="方正仿宋_GBK" w:hAnsi="方正仿宋_GBK" w:eastAsia="方正仿宋_GBK" w:cs="方正仿宋_GBK"/>
          <w:color w:val="000000"/>
          <w:sz w:val="28"/>
          <w:szCs w:val="28"/>
          <w:highlight w:val="none"/>
          <w:u w:val="none"/>
          <w:lang w:val="en-US" w:eastAsia="zh-CN"/>
        </w:rPr>
        <w:t>个日历天</w:t>
      </w:r>
      <w:r>
        <w:rPr>
          <w:rFonts w:hint="eastAsia" w:ascii="方正仿宋_GBK" w:hAnsi="方正仿宋_GBK" w:eastAsia="方正仿宋_GBK" w:cs="方正仿宋_GBK"/>
          <w:color w:val="000000"/>
          <w:sz w:val="28"/>
          <w:szCs w:val="28"/>
          <w:highlight w:val="none"/>
          <w:u w:val="none"/>
        </w:rPr>
        <w:t>内</w:t>
      </w:r>
      <w:r>
        <w:rPr>
          <w:rFonts w:hint="eastAsia" w:ascii="方正仿宋_GBK" w:hAnsi="方正仿宋_GBK" w:eastAsia="方正仿宋_GBK" w:cs="方正仿宋_GBK"/>
          <w:color w:val="000000"/>
          <w:sz w:val="28"/>
          <w:szCs w:val="28"/>
          <w:highlight w:val="none"/>
          <w:u w:val="none"/>
          <w:lang w:eastAsia="zh-CN"/>
        </w:rPr>
        <w:t>。</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第二条：采购清单</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bookmarkStart w:id="60" w:name="OLE_LINK3"/>
      <w:r>
        <w:rPr>
          <w:rFonts w:hint="eastAsia" w:ascii="方正仿宋_GBK" w:hAnsi="方正仿宋_GBK" w:eastAsia="方正仿宋_GBK" w:cs="方正仿宋_GBK"/>
          <w:sz w:val="28"/>
          <w:szCs w:val="28"/>
          <w:highlight w:val="none"/>
        </w:rPr>
        <w:t>乙方根据甲方的需求</w:t>
      </w:r>
      <w:r>
        <w:rPr>
          <w:rFonts w:hint="eastAsia" w:ascii="方正仿宋_GBK" w:hAnsi="方正仿宋_GBK" w:eastAsia="方正仿宋_GBK" w:cs="方正仿宋_GBK"/>
          <w:sz w:val="28"/>
          <w:szCs w:val="28"/>
          <w:highlight w:val="none"/>
          <w:lang w:val="en-US" w:eastAsia="zh-CN"/>
        </w:rPr>
        <w:t>供应货物</w:t>
      </w:r>
      <w:r>
        <w:rPr>
          <w:rFonts w:hint="eastAsia" w:ascii="方正仿宋_GBK" w:hAnsi="方正仿宋_GBK" w:eastAsia="方正仿宋_GBK" w:cs="方正仿宋_GBK"/>
          <w:sz w:val="28"/>
          <w:szCs w:val="28"/>
          <w:highlight w:val="none"/>
        </w:rPr>
        <w:t>，名称、规格、数量及价格见附表《清单》，此清单仅为约定</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规格型号及单价等，实际数量以经</w:t>
      </w:r>
      <w:r>
        <w:rPr>
          <w:rFonts w:hint="eastAsia" w:ascii="方正仿宋_GBK" w:hAnsi="方正仿宋_GBK" w:eastAsia="方正仿宋_GBK" w:cs="方正仿宋_GBK"/>
          <w:sz w:val="28"/>
          <w:szCs w:val="28"/>
          <w:highlight w:val="none"/>
          <w:lang w:val="en-US" w:eastAsia="zh-CN"/>
        </w:rPr>
        <w:t>甲方</w:t>
      </w:r>
      <w:r>
        <w:rPr>
          <w:rFonts w:hint="eastAsia" w:ascii="方正仿宋_GBK" w:hAnsi="方正仿宋_GBK" w:eastAsia="方正仿宋_GBK" w:cs="方正仿宋_GBK"/>
          <w:sz w:val="28"/>
          <w:szCs w:val="28"/>
          <w:highlight w:val="none"/>
        </w:rPr>
        <w:t>验收合格后的订单为准。</w:t>
      </w:r>
      <w:bookmarkEnd w:id="60"/>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第四条：采购及配送</w:t>
      </w:r>
    </w:p>
    <w:p>
      <w:pPr>
        <w:keepNext w:val="0"/>
        <w:keepLines w:val="0"/>
        <w:pageBreakBefore w:val="0"/>
        <w:numPr>
          <w:ilvl w:val="0"/>
          <w:numId w:val="0"/>
        </w:numPr>
        <w:kinsoku/>
        <w:wordWrap/>
        <w:overflowPunct/>
        <w:topLinePunct w:val="0"/>
        <w:bidi w:val="0"/>
        <w:snapToGrid/>
        <w:spacing w:line="400" w:lineRule="exact"/>
        <w:ind w:left="560" w:leftChars="0"/>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lang w:val="en-US" w:eastAsia="zh-CN"/>
        </w:rPr>
        <w:t>1、</w:t>
      </w:r>
      <w:r>
        <w:rPr>
          <w:rFonts w:hint="eastAsia" w:ascii="方正仿宋_GBK" w:hAnsi="方正仿宋_GBK" w:eastAsia="方正仿宋_GBK" w:cs="方正仿宋_GBK"/>
          <w:sz w:val="28"/>
          <w:szCs w:val="28"/>
          <w:highlight w:val="none"/>
        </w:rPr>
        <w:t>乙方</w:t>
      </w:r>
      <w:r>
        <w:rPr>
          <w:rFonts w:hint="eastAsia" w:ascii="方正仿宋_GBK" w:hAnsi="方正仿宋_GBK" w:eastAsia="方正仿宋_GBK" w:cs="方正仿宋_GBK"/>
          <w:sz w:val="28"/>
          <w:szCs w:val="28"/>
          <w:highlight w:val="none"/>
          <w:lang w:val="en-US" w:eastAsia="zh-CN"/>
        </w:rPr>
        <w:t>负责</w:t>
      </w:r>
      <w:r>
        <w:rPr>
          <w:rFonts w:hint="eastAsia" w:ascii="方正仿宋_GBK" w:hAnsi="方正仿宋_GBK" w:eastAsia="方正仿宋_GBK" w:cs="方正仿宋_GBK"/>
          <w:sz w:val="28"/>
          <w:szCs w:val="28"/>
          <w:highlight w:val="none"/>
        </w:rPr>
        <w:t>根据甲方的订单</w:t>
      </w:r>
      <w:r>
        <w:rPr>
          <w:rFonts w:hint="eastAsia" w:ascii="方正仿宋_GBK" w:hAnsi="方正仿宋_GBK" w:eastAsia="方正仿宋_GBK" w:cs="方正仿宋_GBK"/>
          <w:sz w:val="28"/>
          <w:szCs w:val="28"/>
          <w:highlight w:val="none"/>
          <w:lang w:val="en-US" w:eastAsia="zh-CN"/>
        </w:rPr>
        <w:t>供应并</w:t>
      </w:r>
      <w:r>
        <w:rPr>
          <w:rFonts w:hint="eastAsia" w:ascii="方正仿宋_GBK" w:hAnsi="方正仿宋_GBK" w:eastAsia="方正仿宋_GBK" w:cs="方正仿宋_GBK"/>
          <w:sz w:val="28"/>
          <w:szCs w:val="28"/>
          <w:highlight w:val="none"/>
        </w:rPr>
        <w:t>配送</w:t>
      </w:r>
      <w:r>
        <w:rPr>
          <w:rFonts w:hint="eastAsia" w:ascii="方正仿宋_GBK" w:hAnsi="方正仿宋_GBK" w:eastAsia="方正仿宋_GBK" w:cs="方正仿宋_GBK"/>
          <w:sz w:val="28"/>
          <w:szCs w:val="28"/>
          <w:highlight w:val="none"/>
          <w:lang w:eastAsia="zh-CN"/>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2、乙方不得随意增减采购数量或变更采购金额。</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第五条：质量保证</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乙方所提供的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必须完全符合国家行业标准和甲方及比选文件</w:t>
      </w:r>
      <w:r>
        <w:rPr>
          <w:rFonts w:hint="eastAsia" w:ascii="方正仿宋_GBK" w:hAnsi="方正仿宋_GBK" w:eastAsia="方正仿宋_GBK" w:cs="方正仿宋_GBK"/>
          <w:sz w:val="28"/>
          <w:szCs w:val="28"/>
          <w:highlight w:val="none"/>
          <w:lang w:val="en-US" w:eastAsia="zh-CN"/>
        </w:rPr>
        <w:t>及本合同</w:t>
      </w:r>
      <w:r>
        <w:rPr>
          <w:rFonts w:hint="eastAsia" w:ascii="方正仿宋_GBK" w:hAnsi="方正仿宋_GBK" w:eastAsia="方正仿宋_GBK" w:cs="方正仿宋_GBK"/>
          <w:sz w:val="28"/>
          <w:szCs w:val="28"/>
          <w:highlight w:val="none"/>
        </w:rPr>
        <w:t>规定的质量、规格和性能要求。</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第六条：交货或验收</w:t>
      </w:r>
      <w:r>
        <w:rPr>
          <w:rFonts w:hint="eastAsia" w:ascii="方正仿宋_GBK" w:hAnsi="方正仿宋_GBK" w:eastAsia="方正仿宋_GBK" w:cs="方正仿宋_GBK"/>
          <w:b/>
          <w:sz w:val="28"/>
          <w:szCs w:val="28"/>
          <w:highlight w:val="none"/>
        </w:rPr>
        <w:tab/>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1、乙方应按照甲方规定的时间和方式交付。</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2、乙方交付的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应当完全符合甲方规定包括投标样品的数量、质量和规格要求。</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3、经甲方接受验收合格并签署书面认可后方视为完成交付。</w:t>
      </w:r>
    </w:p>
    <w:p>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4、</w:t>
      </w:r>
      <w:r>
        <w:rPr>
          <w:rFonts w:hint="eastAsia" w:ascii="方正仿宋_GBK" w:hAnsi="方正仿宋_GBK" w:eastAsia="方正仿宋_GBK" w:cs="方正仿宋_GBK"/>
          <w:color w:val="000000"/>
          <w:sz w:val="28"/>
          <w:szCs w:val="28"/>
          <w:highlight w:val="none"/>
        </w:rPr>
        <w:t>乙方供货材料属性不一致的，甲方有权要求退货，乙方无理由拒绝。</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第七条：售后服务</w:t>
      </w:r>
      <w:r>
        <w:rPr>
          <w:rFonts w:hint="eastAsia" w:ascii="方正仿宋_GBK" w:hAnsi="方正仿宋_GBK" w:eastAsia="方正仿宋_GBK" w:cs="方正仿宋_GBK"/>
          <w:b/>
          <w:sz w:val="28"/>
          <w:szCs w:val="28"/>
          <w:highlight w:val="none"/>
        </w:rPr>
        <w:tab/>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1、乙方应在甲方所在地按照国家有关法律、法规和“三包”规定提供售后服务。</w:t>
      </w:r>
      <w:r>
        <w:rPr>
          <w:rFonts w:hint="eastAsia" w:ascii="方正仿宋_GBK" w:hAnsi="方正仿宋_GBK" w:eastAsia="方正仿宋_GBK" w:cs="方正仿宋_GBK"/>
          <w:sz w:val="28"/>
          <w:szCs w:val="28"/>
          <w:highlight w:val="none"/>
          <w:lang w:val="zh-CN"/>
        </w:rPr>
        <w:t>三包范围的产品，乙方在接到通知后</w:t>
      </w:r>
      <w:r>
        <w:rPr>
          <w:rFonts w:hint="eastAsia" w:ascii="方正仿宋_GBK" w:hAnsi="方正仿宋_GBK" w:eastAsia="方正仿宋_GBK" w:cs="方正仿宋_GBK"/>
          <w:sz w:val="28"/>
          <w:szCs w:val="28"/>
          <w:highlight w:val="none"/>
          <w:lang w:val="en-US" w:eastAsia="zh-CN"/>
        </w:rPr>
        <w:t>3</w:t>
      </w:r>
      <w:r>
        <w:rPr>
          <w:rFonts w:hint="eastAsia" w:ascii="方正仿宋_GBK" w:hAnsi="方正仿宋_GBK" w:eastAsia="方正仿宋_GBK" w:cs="方正仿宋_GBK"/>
          <w:sz w:val="28"/>
          <w:szCs w:val="28"/>
          <w:highlight w:val="none"/>
        </w:rPr>
        <w:t>小时内响应，</w:t>
      </w:r>
      <w:r>
        <w:rPr>
          <w:rFonts w:hint="eastAsia" w:ascii="方正仿宋_GBK" w:hAnsi="方正仿宋_GBK" w:eastAsia="方正仿宋_GBK" w:cs="方正仿宋_GBK"/>
          <w:sz w:val="28"/>
          <w:szCs w:val="28"/>
          <w:highlight w:val="none"/>
          <w:lang w:val="en-US" w:eastAsia="zh-CN"/>
        </w:rPr>
        <w:t>并按照甲方的要求</w:t>
      </w:r>
      <w:r>
        <w:rPr>
          <w:rFonts w:hint="eastAsia" w:ascii="方正仿宋_GBK" w:hAnsi="方正仿宋_GBK" w:eastAsia="方正仿宋_GBK" w:cs="方正仿宋_GBK"/>
          <w:sz w:val="28"/>
          <w:szCs w:val="28"/>
          <w:highlight w:val="none"/>
        </w:rPr>
        <w:t>更换到位，其他的按照双方约定执行。</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2、乙方保证提供质量合格的</w:t>
      </w:r>
      <w:r>
        <w:rPr>
          <w:rFonts w:hint="eastAsia" w:ascii="方正仿宋_GBK" w:hAnsi="方正仿宋_GBK" w:eastAsia="方正仿宋_GBK" w:cs="方正仿宋_GBK"/>
          <w:sz w:val="28"/>
          <w:szCs w:val="28"/>
          <w:highlight w:val="none"/>
          <w:lang w:val="en-US" w:eastAsia="zh-CN"/>
        </w:rPr>
        <w:t>产品</w:t>
      </w:r>
      <w:r>
        <w:rPr>
          <w:rFonts w:hint="eastAsia" w:ascii="方正仿宋_GBK" w:hAnsi="方正仿宋_GBK" w:eastAsia="方正仿宋_GBK" w:cs="方正仿宋_GBK"/>
          <w:sz w:val="28"/>
          <w:szCs w:val="28"/>
          <w:highlight w:val="none"/>
        </w:rPr>
        <w:t>，如所提供的</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存在质量问题或假冒伪劣或不符合甲方要求，乙方应无条件为甲方退货，退货运费等费用由乙方承担</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若造成损失则由乙方承担全部责任。</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lang w:val="en-US" w:eastAsia="zh-CN"/>
        </w:rPr>
        <w:t>质保期</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lang w:val="en-US" w:eastAsia="zh-CN"/>
        </w:rPr>
        <w:t>年，质保期内</w:t>
      </w:r>
      <w:r>
        <w:rPr>
          <w:rFonts w:hint="eastAsia" w:ascii="方正仿宋_GBK" w:hAnsi="方正仿宋_GBK" w:eastAsia="方正仿宋_GBK" w:cs="方正仿宋_GBK"/>
          <w:sz w:val="28"/>
          <w:szCs w:val="28"/>
          <w:highlight w:val="none"/>
        </w:rPr>
        <w:t>乙方所提供的货物在非人为损坏的情况下</w:t>
      </w:r>
      <w:r>
        <w:rPr>
          <w:rFonts w:hint="eastAsia" w:ascii="方正仿宋_GBK" w:hAnsi="方正仿宋_GBK" w:eastAsia="方正仿宋_GBK" w:cs="方正仿宋_GBK"/>
          <w:sz w:val="28"/>
          <w:szCs w:val="28"/>
          <w:highlight w:val="none"/>
          <w:lang w:val="en-US" w:eastAsia="zh-CN"/>
        </w:rPr>
        <w:t>承诺免费更换</w:t>
      </w:r>
      <w:r>
        <w:rPr>
          <w:rFonts w:hint="eastAsia" w:ascii="方正仿宋_GBK" w:hAnsi="方正仿宋_GBK" w:eastAsia="方正仿宋_GBK" w:cs="方正仿宋_GBK"/>
          <w:sz w:val="28"/>
          <w:szCs w:val="28"/>
          <w:highlight w:val="none"/>
        </w:rPr>
        <w:t>。</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第八条：货款交付</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sz w:val="28"/>
          <w:szCs w:val="28"/>
          <w:highlight w:val="none"/>
        </w:rPr>
        <w:t>经甲乙双方协商，货款采取“转账”的支付方式。验收合格</w:t>
      </w:r>
      <w:r>
        <w:rPr>
          <w:rFonts w:hint="eastAsia" w:ascii="方正仿宋_GBK" w:hAnsi="方正仿宋_GBK" w:eastAsia="方正仿宋_GBK" w:cs="方正仿宋_GBK"/>
          <w:sz w:val="28"/>
          <w:szCs w:val="28"/>
          <w:highlight w:val="none"/>
          <w:lang w:val="en-US" w:eastAsia="zh-CN"/>
        </w:rPr>
        <w:t>并收到</w:t>
      </w:r>
      <w:r>
        <w:rPr>
          <w:rFonts w:hint="eastAsia" w:ascii="方正仿宋_GBK" w:hAnsi="方正仿宋_GBK" w:eastAsia="方正仿宋_GBK" w:cs="方正仿宋_GBK"/>
          <w:sz w:val="28"/>
          <w:szCs w:val="28"/>
          <w:highlight w:val="none"/>
        </w:rPr>
        <w:t>乙方提供</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lang w:val="en-US" w:eastAsia="zh-CN"/>
        </w:rPr>
        <w:t>货款全额</w:t>
      </w:r>
      <w:r>
        <w:rPr>
          <w:rFonts w:hint="eastAsia" w:ascii="方正仿宋_GBK" w:hAnsi="方正仿宋_GBK" w:eastAsia="方正仿宋_GBK" w:cs="方正仿宋_GBK"/>
          <w:sz w:val="28"/>
          <w:szCs w:val="28"/>
          <w:highlight w:val="none"/>
        </w:rPr>
        <w:t>发票后</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甲方</w:t>
      </w:r>
      <w:r>
        <w:rPr>
          <w:rFonts w:hint="eastAsia" w:ascii="方正仿宋_GBK" w:hAnsi="方正仿宋_GBK" w:eastAsia="方正仿宋_GBK" w:cs="方正仿宋_GBK"/>
          <w:sz w:val="28"/>
          <w:szCs w:val="28"/>
          <w:highlight w:val="none"/>
        </w:rPr>
        <w:t>15个工作日内支付至合同金额9</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剩</w:t>
      </w:r>
      <w:r>
        <w:rPr>
          <w:rFonts w:hint="eastAsia" w:ascii="方正仿宋_GBK" w:hAnsi="方正仿宋_GBK" w:eastAsia="方正仿宋_GBK" w:cs="方正仿宋_GBK"/>
          <w:sz w:val="28"/>
          <w:szCs w:val="28"/>
          <w:highlight w:val="none"/>
        </w:rPr>
        <w:t>余</w:t>
      </w:r>
      <w:r>
        <w:rPr>
          <w:rFonts w:hint="eastAsia" w:ascii="方正仿宋_GBK" w:hAnsi="方正仿宋_GBK"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作为</w:t>
      </w:r>
      <w:r>
        <w:rPr>
          <w:rFonts w:hint="eastAsia" w:ascii="方正仿宋_GBK" w:hAnsi="方正仿宋_GBK" w:eastAsia="方正仿宋_GBK" w:cs="方正仿宋_GBK"/>
          <w:sz w:val="28"/>
          <w:szCs w:val="28"/>
          <w:highlight w:val="none"/>
        </w:rPr>
        <w:t>质保金</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质保期为___年，</w:t>
      </w:r>
      <w:r>
        <w:rPr>
          <w:rFonts w:hint="eastAsia" w:ascii="方正仿宋_GBK" w:hAnsi="方正仿宋_GBK" w:eastAsia="方正仿宋_GBK" w:cs="方正仿宋_GBK"/>
          <w:sz w:val="28"/>
          <w:szCs w:val="28"/>
          <w:highlight w:val="none"/>
        </w:rPr>
        <w:t>在质保期满</w:t>
      </w:r>
      <w:r>
        <w:rPr>
          <w:rFonts w:hint="eastAsia" w:ascii="方正仿宋_GBK" w:hAnsi="方正仿宋_GBK" w:eastAsia="方正仿宋_GBK" w:cs="方正仿宋_GBK"/>
          <w:sz w:val="28"/>
          <w:szCs w:val="28"/>
          <w:highlight w:val="none"/>
          <w:u w:val="none"/>
          <w:lang w:val="en-US" w:eastAsia="zh-CN"/>
        </w:rPr>
        <w:t>内</w:t>
      </w:r>
      <w:r>
        <w:rPr>
          <w:rFonts w:hint="eastAsia" w:ascii="方正仿宋_GBK" w:hAnsi="方正仿宋_GBK" w:eastAsia="方正仿宋_GBK" w:cs="方正仿宋_GBK"/>
          <w:sz w:val="28"/>
          <w:szCs w:val="28"/>
          <w:highlight w:val="none"/>
        </w:rPr>
        <w:t>无质保问题</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无违约问题</w:t>
      </w:r>
      <w:r>
        <w:rPr>
          <w:rFonts w:hint="eastAsia" w:ascii="方正仿宋_GBK" w:hAnsi="方正仿宋_GBK" w:eastAsia="方正仿宋_GBK" w:cs="方正仿宋_GBK"/>
          <w:sz w:val="28"/>
          <w:szCs w:val="28"/>
          <w:highlight w:val="none"/>
        </w:rPr>
        <w:t>后一次性支付。</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乙方收款账户</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开户行：</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账号：</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u w:val="single"/>
        </w:rPr>
      </w:pPr>
      <w:r>
        <w:rPr>
          <w:rFonts w:hint="eastAsia" w:ascii="方正仿宋_GBK" w:hAnsi="方正仿宋_GBK" w:eastAsia="方正仿宋_GBK" w:cs="方正仿宋_GBK"/>
          <w:sz w:val="28"/>
          <w:szCs w:val="28"/>
          <w:highlight w:val="none"/>
        </w:rPr>
        <w:t>税号：</w:t>
      </w:r>
      <w:r>
        <w:rPr>
          <w:rFonts w:hint="eastAsia" w:ascii="方正仿宋_GBK" w:hAnsi="方正仿宋_GBK" w:eastAsia="方正仿宋_GBK" w:cs="方正仿宋_GBK"/>
          <w:sz w:val="28"/>
          <w:szCs w:val="28"/>
          <w:highlight w:val="none"/>
          <w:u w:val="single"/>
        </w:rPr>
        <w:t xml:space="preserve">                              </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九、安全管理约定</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1、乙方按照国家有关规定和甲方安全管理要求进行货物配送，服从重咨大厦物业的现场安全管理；</w:t>
      </w:r>
    </w:p>
    <w:p>
      <w:pPr>
        <w:pStyle w:val="65"/>
        <w:keepNext w:val="0"/>
        <w:keepLines w:val="0"/>
        <w:pageBreakBefore w:val="0"/>
        <w:kinsoku/>
        <w:wordWrap/>
        <w:overflowPunct/>
        <w:topLinePunct w:val="0"/>
        <w:bidi w:val="0"/>
        <w:snapToGrid/>
        <w:spacing w:before="0" w:after="0" w:line="400" w:lineRule="exact"/>
        <w:ind w:firstLine="560" w:firstLineChars="200"/>
        <w:textAlignment w:val="auto"/>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rPr>
        <w:t>、乙方配送人员不饮酒、不抽烟，不乱丢杂物和易燃品；</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、乙方配送过程中，须采取安全防护措施，保证自身及第三方人员及财物安全。因非甲方原因（安全措施不到位、违规作业等）造成人员伤害及财务损失的，乙方承担全部赔偿责任。</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b/>
          <w:bCs/>
          <w:sz w:val="28"/>
          <w:szCs w:val="28"/>
          <w:highlight w:val="none"/>
        </w:rPr>
      </w:pPr>
      <w:r>
        <w:rPr>
          <w:rFonts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rPr>
        <w:t>、乙方每次配送完毕将包装材料等杂物集中清运，不留在甲方场所，严防事故。乙方未将现场清理干净至符合甲方（及委托方）的要求，否则甲方有权不予验收。</w:t>
      </w:r>
      <w:r>
        <w:rPr>
          <w:rFonts w:hint="eastAsia" w:ascii="方正仿宋_GBK" w:hAnsi="方正仿宋_GBK" w:eastAsia="方正仿宋_GBK" w:cs="方正仿宋_GBK"/>
          <w:b/>
          <w:bCs/>
          <w:sz w:val="28"/>
          <w:szCs w:val="28"/>
          <w:highlight w:val="none"/>
        </w:rPr>
        <w:t xml:space="preserve"> </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b/>
          <w:bCs/>
          <w:sz w:val="28"/>
          <w:szCs w:val="28"/>
          <w:highlight w:val="none"/>
        </w:rPr>
        <w:t>十、廉政从业规定</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甲方工作人员不准向乙方和相关单位索要或接受回扣、礼金、有价证券、贵重物品和好处费、感谢费等；不准要求乙方和相关单位报销任何应由甲方或个人支付的费用；不准参加有可能影响公正执行公务的乙方和相关单位的宴请或健身、娱乐等活动；不得以任何理由向乙方推荐相关单位或分包单位等。</w:t>
      </w:r>
    </w:p>
    <w:p>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2、乙方应与甲方保持正常的业务交往，不准以任何理由向甲方、相关单位及其工作人员赠送礼金、有价证券、贵重物品和回扣、好处费、感谢费等；不准为甲方和相关单位报销任何费用；不准组织和参加有可能影响公正执行公务的宴请或健身、娱乐等活动；不得以任何理由向甲方推荐相关单位或分包单位等。</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十一：违约责任</w:t>
      </w:r>
    </w:p>
    <w:p>
      <w:pPr>
        <w:keepNext w:val="0"/>
        <w:keepLines w:val="0"/>
        <w:pageBreakBefore w:val="0"/>
        <w:numPr>
          <w:ilvl w:val="0"/>
          <w:numId w:val="3"/>
        </w:numPr>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甲方</w:t>
      </w:r>
      <w:r>
        <w:rPr>
          <w:rFonts w:hint="eastAsia" w:ascii="方正仿宋_GBK" w:hAnsi="方正仿宋_GBK" w:eastAsia="方正仿宋_GBK" w:cs="方正仿宋_GBK"/>
          <w:sz w:val="28"/>
          <w:szCs w:val="28"/>
          <w:highlight w:val="none"/>
          <w:lang w:val="en-US" w:eastAsia="zh-CN"/>
        </w:rPr>
        <w:t>须按合同约定支付款项，</w:t>
      </w:r>
      <w:r>
        <w:rPr>
          <w:rFonts w:hint="eastAsia" w:ascii="方正仿宋_GBK" w:hAnsi="方正仿宋_GBK" w:eastAsia="方正仿宋_GBK" w:cs="方正仿宋_GBK"/>
          <w:sz w:val="28"/>
          <w:szCs w:val="28"/>
          <w:highlight w:val="none"/>
        </w:rPr>
        <w:t>无正当理由不得拒付款</w:t>
      </w:r>
      <w:r>
        <w:rPr>
          <w:rFonts w:hint="eastAsia" w:ascii="方正仿宋_GBK" w:hAnsi="方正仿宋_GBK" w:eastAsia="方正仿宋_GBK" w:cs="方正仿宋_GBK"/>
          <w:sz w:val="28"/>
          <w:szCs w:val="28"/>
          <w:highlight w:val="none"/>
          <w:lang w:eastAsia="zh-CN"/>
        </w:rPr>
        <w:t>。</w:t>
      </w:r>
    </w:p>
    <w:p>
      <w:pPr>
        <w:keepNext w:val="0"/>
        <w:keepLines w:val="0"/>
        <w:pageBreakBefore w:val="0"/>
        <w:numPr>
          <w:ilvl w:val="0"/>
          <w:numId w:val="3"/>
        </w:numPr>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乙方无故不履行或解除合同</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rPr>
        <w:t>应向</w:t>
      </w:r>
      <w:r>
        <w:rPr>
          <w:rFonts w:hint="eastAsia" w:ascii="方正仿宋_GBK" w:hAnsi="方正仿宋_GBK" w:eastAsia="方正仿宋_GBK" w:cs="方正仿宋_GBK"/>
          <w:sz w:val="28"/>
          <w:szCs w:val="28"/>
          <w:highlight w:val="none"/>
          <w:lang w:val="en-US" w:eastAsia="zh-CN"/>
        </w:rPr>
        <w:t>甲方</w:t>
      </w:r>
      <w:r>
        <w:rPr>
          <w:rFonts w:hint="eastAsia" w:ascii="方正仿宋_GBK" w:hAnsi="方正仿宋_GBK" w:eastAsia="方正仿宋_GBK" w:cs="方正仿宋_GBK"/>
          <w:sz w:val="28"/>
          <w:szCs w:val="28"/>
          <w:highlight w:val="none"/>
        </w:rPr>
        <w:t>支付违约金</w:t>
      </w:r>
      <w:r>
        <w:rPr>
          <w:rFonts w:hint="eastAsia" w:ascii="方正仿宋_GBK" w:hAnsi="方正仿宋_GBK" w:eastAsia="方正仿宋_GBK" w:cs="方正仿宋_GBK"/>
          <w:color w:val="FF0000"/>
          <w:sz w:val="28"/>
          <w:szCs w:val="28"/>
          <w:highlight w:val="none"/>
          <w:lang w:val="en-US" w:eastAsia="zh-CN"/>
        </w:rPr>
        <w:t>20</w:t>
      </w:r>
      <w:r>
        <w:rPr>
          <w:rFonts w:hint="eastAsia" w:ascii="方正仿宋_GBK" w:hAnsi="方正仿宋_GBK" w:eastAsia="方正仿宋_GBK" w:cs="方正仿宋_GBK"/>
          <w:color w:val="FF0000"/>
          <w:sz w:val="28"/>
          <w:szCs w:val="28"/>
          <w:highlight w:val="none"/>
        </w:rPr>
        <w:t>000元</w:t>
      </w:r>
      <w:r>
        <w:rPr>
          <w:rFonts w:hint="eastAsia" w:ascii="方正仿宋_GBK" w:hAnsi="方正仿宋_GBK" w:eastAsia="方正仿宋_GBK" w:cs="方正仿宋_GBK"/>
          <w:sz w:val="28"/>
          <w:szCs w:val="28"/>
          <w:highlight w:val="none"/>
        </w:rPr>
        <w:t>。</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rPr>
        <w:t>、乙方所交付的品名、型号、规格、质量、期限要求不符合投标样品</w:t>
      </w:r>
      <w:r>
        <w:rPr>
          <w:rFonts w:hint="eastAsia" w:ascii="方正仿宋_GBK" w:hAnsi="方正仿宋_GBK" w:eastAsia="方正仿宋_GBK" w:cs="方正仿宋_GBK"/>
          <w:sz w:val="28"/>
          <w:szCs w:val="28"/>
          <w:highlight w:val="none"/>
          <w:lang w:val="en-US" w:eastAsia="zh-CN"/>
        </w:rPr>
        <w:t>和合同要求</w:t>
      </w:r>
      <w:r>
        <w:rPr>
          <w:rFonts w:hint="eastAsia" w:ascii="方正仿宋_GBK" w:hAnsi="方正仿宋_GBK" w:eastAsia="方正仿宋_GBK" w:cs="方正仿宋_GBK"/>
          <w:sz w:val="28"/>
          <w:szCs w:val="28"/>
          <w:highlight w:val="none"/>
        </w:rPr>
        <w:t>的，甲方有权拒收，</w:t>
      </w:r>
      <w:r>
        <w:rPr>
          <w:rFonts w:hint="eastAsia" w:ascii="方正仿宋_GBK" w:hAnsi="方正仿宋_GBK" w:eastAsia="方正仿宋_GBK" w:cs="方正仿宋_GBK"/>
          <w:sz w:val="28"/>
          <w:szCs w:val="28"/>
          <w:highlight w:val="none"/>
          <w:lang w:val="en-US" w:eastAsia="zh-CN"/>
        </w:rPr>
        <w:t>并要求</w:t>
      </w:r>
      <w:r>
        <w:rPr>
          <w:rFonts w:hint="eastAsia" w:ascii="方正仿宋_GBK" w:hAnsi="方正仿宋_GBK" w:eastAsia="方正仿宋_GBK" w:cs="方正仿宋_GBK"/>
          <w:sz w:val="28"/>
          <w:szCs w:val="28"/>
          <w:highlight w:val="none"/>
        </w:rPr>
        <w:t>乙方</w:t>
      </w:r>
      <w:r>
        <w:rPr>
          <w:rFonts w:hint="eastAsia" w:ascii="方正仿宋_GBK" w:hAnsi="方正仿宋_GBK" w:eastAsia="方正仿宋_GBK" w:cs="方正仿宋_GBK"/>
          <w:color w:val="FF0000"/>
          <w:sz w:val="28"/>
          <w:szCs w:val="28"/>
          <w:highlight w:val="none"/>
          <w:u w:val="single"/>
          <w:lang w:val="en-US" w:eastAsia="zh-CN"/>
        </w:rPr>
        <w:t xml:space="preserve"> 7 </w:t>
      </w:r>
      <w:r>
        <w:rPr>
          <w:rFonts w:hint="eastAsia" w:ascii="方正仿宋_GBK" w:hAnsi="方正仿宋_GBK" w:eastAsia="方正仿宋_GBK" w:cs="方正仿宋_GBK"/>
          <w:color w:val="FF0000"/>
          <w:sz w:val="28"/>
          <w:szCs w:val="28"/>
          <w:highlight w:val="none"/>
          <w:lang w:val="en-US" w:eastAsia="zh-CN"/>
        </w:rPr>
        <w:t>日</w:t>
      </w:r>
      <w:r>
        <w:rPr>
          <w:rFonts w:hint="eastAsia" w:ascii="方正仿宋_GBK" w:hAnsi="方正仿宋_GBK" w:eastAsia="方正仿宋_GBK" w:cs="方正仿宋_GBK"/>
          <w:sz w:val="28"/>
          <w:szCs w:val="28"/>
          <w:highlight w:val="none"/>
          <w:lang w:val="en-US" w:eastAsia="zh-CN"/>
        </w:rPr>
        <w:t>内</w:t>
      </w:r>
      <w:r>
        <w:rPr>
          <w:rFonts w:hint="eastAsia" w:ascii="方正仿宋_GBK" w:hAnsi="方正仿宋_GBK" w:eastAsia="方正仿宋_GBK" w:cs="方正仿宋_GBK"/>
          <w:sz w:val="28"/>
          <w:szCs w:val="28"/>
          <w:highlight w:val="none"/>
        </w:rPr>
        <w:t>予以更换。</w:t>
      </w:r>
      <w:r>
        <w:rPr>
          <w:rFonts w:hint="eastAsia" w:ascii="方正仿宋_GBK" w:hAnsi="方正仿宋_GBK" w:eastAsia="方正仿宋_GBK" w:cs="方正仿宋_GBK"/>
          <w:sz w:val="28"/>
          <w:szCs w:val="28"/>
          <w:highlight w:val="none"/>
          <w:lang w:val="en-US" w:eastAsia="zh-CN"/>
        </w:rPr>
        <w:t>拒不退换货的，</w:t>
      </w:r>
      <w:r>
        <w:rPr>
          <w:rFonts w:hint="eastAsia" w:ascii="方正仿宋_GBK" w:hAnsi="方正仿宋_GBK" w:eastAsia="方正仿宋_GBK" w:cs="方正仿宋_GBK"/>
          <w:sz w:val="28"/>
          <w:szCs w:val="28"/>
          <w:highlight w:val="none"/>
        </w:rPr>
        <w:t>乙方</w:t>
      </w:r>
      <w:r>
        <w:rPr>
          <w:rFonts w:hint="eastAsia" w:ascii="方正仿宋_GBK" w:hAnsi="方正仿宋_GBK" w:eastAsia="方正仿宋_GBK" w:cs="方正仿宋_GBK"/>
          <w:sz w:val="28"/>
          <w:szCs w:val="28"/>
          <w:highlight w:val="none"/>
          <w:lang w:val="en-US" w:eastAsia="zh-CN"/>
        </w:rPr>
        <w:t>向甲方</w:t>
      </w:r>
      <w:r>
        <w:rPr>
          <w:rFonts w:hint="eastAsia" w:ascii="方正仿宋_GBK" w:hAnsi="方正仿宋_GBK" w:eastAsia="方正仿宋_GBK" w:cs="方正仿宋_GBK"/>
          <w:sz w:val="28"/>
          <w:szCs w:val="28"/>
          <w:highlight w:val="none"/>
        </w:rPr>
        <w:t>支付违约金</w:t>
      </w:r>
      <w:r>
        <w:rPr>
          <w:rFonts w:hint="eastAsia" w:ascii="方正仿宋_GBK" w:hAnsi="方正仿宋_GBK" w:eastAsia="方正仿宋_GBK" w:cs="方正仿宋_GBK"/>
          <w:color w:val="FF0000"/>
          <w:sz w:val="28"/>
          <w:szCs w:val="28"/>
          <w:highlight w:val="none"/>
          <w:lang w:val="en-US" w:eastAsia="zh-CN"/>
        </w:rPr>
        <w:t>1</w:t>
      </w:r>
      <w:r>
        <w:rPr>
          <w:rFonts w:hint="eastAsia" w:ascii="方正仿宋_GBK" w:hAnsi="方正仿宋_GBK" w:eastAsia="方正仿宋_GBK" w:cs="方正仿宋_GBK"/>
          <w:color w:val="FF0000"/>
          <w:sz w:val="28"/>
          <w:szCs w:val="28"/>
          <w:highlight w:val="none"/>
        </w:rPr>
        <w:t>000元</w:t>
      </w:r>
      <w:r>
        <w:rPr>
          <w:rFonts w:hint="eastAsia" w:ascii="方正仿宋_GBK" w:hAnsi="方正仿宋_GBK" w:eastAsia="方正仿宋_GBK" w:cs="方正仿宋_GBK"/>
          <w:color w:val="FF0000"/>
          <w:sz w:val="28"/>
          <w:szCs w:val="28"/>
          <w:highlight w:val="none"/>
          <w:lang w:val="en-US" w:eastAsia="zh-CN"/>
        </w:rPr>
        <w:t>/次</w:t>
      </w:r>
      <w:r>
        <w:rPr>
          <w:rFonts w:hint="eastAsia" w:ascii="方正仿宋_GBK" w:hAnsi="方正仿宋_GBK" w:eastAsia="方正仿宋_GBK" w:cs="方正仿宋_GBK"/>
          <w:sz w:val="28"/>
          <w:szCs w:val="28"/>
          <w:highlight w:val="none"/>
        </w:rPr>
        <w:t>，并承担由此造成的损失</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乙方此项违约达到3次的，</w:t>
      </w:r>
      <w:r>
        <w:rPr>
          <w:rFonts w:hint="eastAsia" w:ascii="方正仿宋_GBK" w:hAnsi="方正仿宋_GBK" w:eastAsia="方正仿宋_GBK" w:cs="方正仿宋_GBK"/>
          <w:sz w:val="28"/>
          <w:szCs w:val="28"/>
          <w:highlight w:val="none"/>
        </w:rPr>
        <w:t>甲方有权</w:t>
      </w:r>
      <w:r>
        <w:rPr>
          <w:rFonts w:hint="eastAsia" w:ascii="方正仿宋_GBK" w:hAnsi="方正仿宋_GBK" w:eastAsia="方正仿宋_GBK" w:cs="方正仿宋_GBK"/>
          <w:sz w:val="28"/>
          <w:szCs w:val="28"/>
          <w:highlight w:val="none"/>
          <w:lang w:val="en-US" w:eastAsia="zh-CN"/>
        </w:rPr>
        <w:t>无条件</w:t>
      </w:r>
      <w:r>
        <w:rPr>
          <w:rFonts w:hint="eastAsia" w:ascii="方正仿宋_GBK" w:hAnsi="方正仿宋_GBK" w:eastAsia="方正仿宋_GBK" w:cs="方正仿宋_GBK"/>
          <w:sz w:val="28"/>
          <w:szCs w:val="28"/>
          <w:highlight w:val="none"/>
        </w:rPr>
        <w:t>解除合约。</w:t>
      </w:r>
    </w:p>
    <w:p>
      <w:pPr>
        <w:pStyle w:val="66"/>
        <w:keepNext w:val="0"/>
        <w:keepLines w:val="0"/>
        <w:pageBreakBefore w:val="0"/>
        <w:kinsoku/>
        <w:wordWrap/>
        <w:overflowPunct/>
        <w:topLinePunct w:val="0"/>
        <w:autoSpaceDE w:val="0"/>
        <w:autoSpaceDN w:val="0"/>
        <w:bidi w:val="0"/>
        <w:adjustRightInd w:val="0"/>
        <w:snapToGrid/>
        <w:spacing w:line="400" w:lineRule="exact"/>
        <w:ind w:firstLine="560"/>
        <w:textAlignment w:val="auto"/>
        <w:rPr>
          <w:rFonts w:hint="eastAsia"/>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、如乙方不能按时交付</w:t>
      </w:r>
      <w:r>
        <w:rPr>
          <w:rFonts w:hint="eastAsia" w:ascii="方正仿宋_GBK" w:hAnsi="方正仿宋_GBK" w:eastAsia="方正仿宋_GBK" w:cs="方正仿宋_GBK"/>
          <w:sz w:val="28"/>
          <w:szCs w:val="28"/>
          <w:highlight w:val="none"/>
          <w:lang w:val="en-US" w:eastAsia="zh-CN"/>
        </w:rPr>
        <w:t>货物</w:t>
      </w:r>
      <w:r>
        <w:rPr>
          <w:rFonts w:hint="eastAsia" w:ascii="方正仿宋_GBK" w:hAnsi="方正仿宋_GBK" w:eastAsia="方正仿宋_GBK" w:cs="方正仿宋_GBK"/>
          <w:sz w:val="28"/>
          <w:szCs w:val="28"/>
          <w:highlight w:val="none"/>
        </w:rPr>
        <w:t>，乙方须以</w:t>
      </w:r>
      <w:r>
        <w:rPr>
          <w:rFonts w:hint="eastAsia" w:ascii="方正仿宋_GBK" w:hAnsi="方正仿宋_GBK" w:eastAsia="方正仿宋_GBK" w:cs="方正仿宋_GBK"/>
          <w:color w:val="FF0000"/>
          <w:sz w:val="28"/>
          <w:szCs w:val="28"/>
          <w:highlight w:val="none"/>
          <w:lang w:val="en-US" w:eastAsia="zh-CN"/>
        </w:rPr>
        <w:t>5</w:t>
      </w:r>
      <w:r>
        <w:rPr>
          <w:rFonts w:hint="eastAsia" w:ascii="方正仿宋_GBK" w:hAnsi="方正仿宋_GBK" w:eastAsia="方正仿宋_GBK" w:cs="方正仿宋_GBK"/>
          <w:color w:val="FF0000"/>
          <w:sz w:val="28"/>
          <w:szCs w:val="28"/>
          <w:highlight w:val="none"/>
        </w:rPr>
        <w:t>00元</w:t>
      </w:r>
      <w:r>
        <w:rPr>
          <w:rFonts w:hint="eastAsia" w:ascii="方正仿宋_GBK" w:hAnsi="方正仿宋_GBK" w:eastAsia="方正仿宋_GBK" w:cs="方正仿宋_GBK"/>
          <w:color w:val="FF0000"/>
          <w:sz w:val="28"/>
          <w:szCs w:val="28"/>
          <w:highlight w:val="none"/>
          <w:lang w:val="en-US" w:eastAsia="zh-CN"/>
        </w:rPr>
        <w:t>/日</w:t>
      </w:r>
      <w:r>
        <w:rPr>
          <w:rFonts w:hint="eastAsia" w:ascii="方正仿宋_GBK" w:hAnsi="方正仿宋_GBK" w:eastAsia="方正仿宋_GBK" w:cs="方正仿宋_GBK"/>
          <w:sz w:val="28"/>
          <w:szCs w:val="28"/>
          <w:highlight w:val="none"/>
        </w:rPr>
        <w:t>的标准向甲方支付延迟交付违约金</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并赔偿给甲方造成的经济损失。</w:t>
      </w:r>
      <w:r>
        <w:rPr>
          <w:rFonts w:hint="eastAsia" w:ascii="方正仿宋_GBK" w:hAnsi="方正仿宋_GBK" w:eastAsia="方正仿宋_GBK" w:cs="方正仿宋_GBK"/>
          <w:sz w:val="28"/>
          <w:szCs w:val="28"/>
          <w:highlight w:val="none"/>
          <w:lang w:val="en-US" w:eastAsia="zh-CN"/>
        </w:rPr>
        <w:t>延迟交付超过30日的，</w:t>
      </w:r>
      <w:r>
        <w:rPr>
          <w:rFonts w:hint="eastAsia" w:ascii="方正仿宋_GBK" w:hAnsi="方正仿宋_GBK" w:eastAsia="方正仿宋_GBK" w:cs="方正仿宋_GBK"/>
          <w:sz w:val="28"/>
          <w:szCs w:val="28"/>
          <w:highlight w:val="none"/>
          <w:lang w:val="zh-CN"/>
        </w:rPr>
        <w:t>甲方有权无条件解除协议，并将乙方列入甲方供应商黑名单内，甲方3年内不予认可乙方任何形式的产品或服务供应资格。</w:t>
      </w:r>
    </w:p>
    <w:p>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hint="eastAsia" w:ascii="方正仿宋_GBK" w:hAnsi="方正仿宋_GBK" w:eastAsia="方正仿宋_GBK" w:cs="方正仿宋_GBK"/>
          <w:sz w:val="28"/>
          <w:szCs w:val="28"/>
          <w:highlight w:val="none"/>
        </w:rPr>
        <w:t>4、乙方派出</w:t>
      </w:r>
      <w:r>
        <w:rPr>
          <w:rFonts w:hint="eastAsia" w:ascii="方正仿宋_GBK" w:hAnsi="方正仿宋_GBK" w:eastAsia="方正仿宋_GBK" w:cs="方正仿宋_GBK"/>
          <w:sz w:val="28"/>
          <w:szCs w:val="28"/>
          <w:highlight w:val="none"/>
          <w:lang w:eastAsia="zh-CN"/>
        </w:rPr>
        <w:t>的</w:t>
      </w:r>
      <w:r>
        <w:rPr>
          <w:rFonts w:hint="eastAsia" w:ascii="方正仿宋_GBK" w:hAnsi="方正仿宋_GBK" w:eastAsia="方正仿宋_GBK" w:cs="方正仿宋_GBK"/>
          <w:sz w:val="28"/>
          <w:szCs w:val="28"/>
          <w:highlight w:val="none"/>
        </w:rPr>
        <w:t>人员</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因配送安装等原因</w:t>
      </w:r>
      <w:r>
        <w:rPr>
          <w:rFonts w:hint="eastAsia" w:ascii="方正仿宋_GBK" w:hAnsi="方正仿宋_GBK" w:eastAsia="方正仿宋_GBK" w:cs="方正仿宋_GBK"/>
          <w:sz w:val="28"/>
          <w:szCs w:val="28"/>
          <w:highlight w:val="none"/>
        </w:rPr>
        <w:t>造成人身财产安全</w:t>
      </w:r>
      <w:r>
        <w:rPr>
          <w:rFonts w:hint="eastAsia" w:ascii="方正仿宋_GBK" w:hAnsi="方正仿宋_GBK" w:eastAsia="方正仿宋_GBK" w:cs="方正仿宋_GBK"/>
          <w:sz w:val="28"/>
          <w:szCs w:val="28"/>
          <w:highlight w:val="none"/>
          <w:lang w:val="en-US" w:eastAsia="zh-CN"/>
        </w:rPr>
        <w:t>事故</w:t>
      </w:r>
      <w:r>
        <w:rPr>
          <w:rFonts w:hint="eastAsia" w:ascii="方正仿宋_GBK" w:hAnsi="方正仿宋_GBK" w:eastAsia="方正仿宋_GBK" w:cs="方正仿宋_GBK"/>
          <w:sz w:val="28"/>
          <w:szCs w:val="28"/>
          <w:highlight w:val="none"/>
        </w:rPr>
        <w:t>的损失赔偿责任由乙方</w:t>
      </w:r>
      <w:r>
        <w:rPr>
          <w:rFonts w:hint="eastAsia" w:ascii="方正仿宋_GBK" w:hAnsi="方正仿宋_GBK" w:eastAsia="方正仿宋_GBK" w:cs="方正仿宋_GBK"/>
          <w:sz w:val="28"/>
          <w:szCs w:val="28"/>
          <w:highlight w:val="none"/>
          <w:lang w:val="en-US" w:eastAsia="zh-CN"/>
        </w:rPr>
        <w:t>全部</w:t>
      </w:r>
      <w:r>
        <w:rPr>
          <w:rFonts w:hint="eastAsia" w:ascii="方正仿宋_GBK" w:hAnsi="方正仿宋_GBK" w:eastAsia="方正仿宋_GBK" w:cs="方正仿宋_GBK"/>
          <w:sz w:val="28"/>
          <w:szCs w:val="28"/>
          <w:highlight w:val="none"/>
        </w:rPr>
        <w:t>承担，与甲方无关。货物验收完毕前</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风险责任由乙方承担。</w:t>
      </w:r>
    </w:p>
    <w:p>
      <w:pPr>
        <w:keepNext w:val="0"/>
        <w:keepLines w:val="0"/>
        <w:pageBreakBefore w:val="0"/>
        <w:kinsoku/>
        <w:wordWrap/>
        <w:overflowPunct/>
        <w:topLinePunct w:val="0"/>
        <w:bidi w:val="0"/>
        <w:snapToGrid/>
        <w:spacing w:line="400" w:lineRule="exact"/>
        <w:ind w:firstLine="562" w:firstLineChars="200"/>
        <w:textAlignment w:val="auto"/>
        <w:rPr>
          <w:rFonts w:hint="eastAsia" w:ascii="方正仿宋_GBK" w:hAnsi="方正仿宋_GBK" w:eastAsia="方正仿宋_GBK" w:cs="方正仿宋_GBK"/>
          <w:b/>
          <w:sz w:val="28"/>
          <w:szCs w:val="28"/>
          <w:highlight w:val="none"/>
        </w:rPr>
      </w:pPr>
      <w:r>
        <w:rPr>
          <w:rFonts w:hint="eastAsia" w:ascii="方正仿宋_GBK" w:hAnsi="方正仿宋_GBK" w:eastAsia="方正仿宋_GBK" w:cs="方正仿宋_GBK"/>
          <w:b/>
          <w:sz w:val="28"/>
          <w:szCs w:val="28"/>
          <w:highlight w:val="none"/>
        </w:rPr>
        <w:t>十二：合同生效及其他</w:t>
      </w:r>
    </w:p>
    <w:p>
      <w:pPr>
        <w:keepNext w:val="0"/>
        <w:keepLines w:val="0"/>
        <w:pageBreakBefore w:val="0"/>
        <w:kinsoku/>
        <w:wordWrap/>
        <w:overflowPunct/>
        <w:topLinePunct w:val="0"/>
        <w:bidi w:val="0"/>
        <w:snapToGrid/>
        <w:spacing w:line="400" w:lineRule="exact"/>
        <w:ind w:firstLine="560" w:firstLineChars="200"/>
        <w:textAlignment w:val="auto"/>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1、本合同自签定之日起生效。合同履行过程产生的争议，可友好协商解决。协商解决不成的，向甲方所在地人民法院提起诉讼。</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2、本合同未尽事宜，经双方协商可签订补充协议，具有同等法律效力。</w:t>
      </w:r>
    </w:p>
    <w:p>
      <w:pPr>
        <w:keepNext w:val="0"/>
        <w:keepLines w:val="0"/>
        <w:pageBreakBefore w:val="0"/>
        <w:kinsoku/>
        <w:wordWrap/>
        <w:overflowPunct/>
        <w:topLinePunct w:val="0"/>
        <w:bidi w:val="0"/>
        <w:snapToGrid/>
        <w:spacing w:line="400" w:lineRule="exact"/>
        <w:ind w:firstLine="560" w:firstLineChars="200"/>
        <w:textAlignment w:val="auto"/>
        <w:rPr>
          <w:rFonts w:hint="eastAsia"/>
          <w:sz w:val="28"/>
          <w:szCs w:val="28"/>
          <w:highlight w:val="none"/>
        </w:rPr>
      </w:pPr>
      <w:r>
        <w:rPr>
          <w:rFonts w:ascii="方正仿宋_GBK" w:hAnsi="方正仿宋_GBK" w:eastAsia="方正仿宋_GBK" w:cs="方正仿宋_GBK"/>
          <w:sz w:val="28"/>
          <w:szCs w:val="28"/>
          <w:highlight w:val="none"/>
        </w:rPr>
        <w:t>3</w:t>
      </w:r>
      <w:r>
        <w:rPr>
          <w:rFonts w:hint="eastAsia" w:ascii="方正仿宋_GBK" w:hAnsi="方正仿宋_GBK" w:eastAsia="方正仿宋_GBK" w:cs="方正仿宋_GBK"/>
          <w:sz w:val="28"/>
          <w:szCs w:val="28"/>
          <w:highlight w:val="none"/>
        </w:rPr>
        <w:t>、本合同一式</w:t>
      </w:r>
      <w:r>
        <w:rPr>
          <w:rFonts w:hint="eastAsia" w:ascii="方正仿宋_GBK" w:hAnsi="方正仿宋_GBK" w:eastAsia="方正仿宋_GBK" w:cs="方正仿宋_GBK"/>
          <w:color w:val="FF0000"/>
          <w:sz w:val="28"/>
          <w:szCs w:val="28"/>
          <w:highlight w:val="none"/>
          <w:u w:val="single"/>
        </w:rPr>
        <w:t>肆份，甲方执叁份，乙方执壹份</w:t>
      </w:r>
      <w:r>
        <w:rPr>
          <w:rFonts w:hint="eastAsia" w:ascii="方正仿宋_GBK" w:hAnsi="方正仿宋_GBK" w:eastAsia="方正仿宋_GBK" w:cs="方正仿宋_GBK"/>
          <w:sz w:val="28"/>
          <w:szCs w:val="28"/>
          <w:highlight w:val="none"/>
        </w:rPr>
        <w:t>，具同等法律效力，经双方法定代表人或委托代理人签字盖章生效。</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w:t>
      </w:r>
      <w:r>
        <w:rPr>
          <w:rFonts w:hint="eastAsia" w:ascii="方正仿宋_GBK" w:hAnsi="方正仿宋_GBK" w:eastAsia="方正仿宋_GBK" w:cs="方正仿宋_GBK"/>
          <w:sz w:val="28"/>
          <w:szCs w:val="28"/>
          <w:highlight w:val="none"/>
        </w:rPr>
        <w:t>、本合同应按照中华人民共和国的现行法律进行解释。</w:t>
      </w:r>
    </w:p>
    <w:p>
      <w:pPr>
        <w:keepNext w:val="0"/>
        <w:keepLines w:val="0"/>
        <w:pageBreakBefore w:val="0"/>
        <w:kinsoku/>
        <w:wordWrap/>
        <w:overflowPunct/>
        <w:topLinePunct w:val="0"/>
        <w:bidi w:val="0"/>
        <w:snapToGrid/>
        <w:spacing w:line="400" w:lineRule="exact"/>
        <w:ind w:firstLine="56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28"/>
          <w:szCs w:val="28"/>
          <w:highlight w:val="none"/>
        </w:rPr>
        <w:t>附件：《</w:t>
      </w:r>
      <w:r>
        <w:rPr>
          <w:rFonts w:hint="eastAsia" w:ascii="方正仿宋_GBK" w:hAnsi="方正仿宋_GBK" w:eastAsia="方正仿宋_GBK" w:cs="方正仿宋_GBK"/>
          <w:bCs/>
          <w:sz w:val="28"/>
          <w:szCs w:val="28"/>
          <w:highlight w:val="none"/>
        </w:rPr>
        <w:t>清单</w:t>
      </w:r>
      <w:r>
        <w:rPr>
          <w:rFonts w:hint="eastAsia" w:ascii="方正仿宋_GBK" w:hAnsi="方正仿宋_GBK" w:eastAsia="方正仿宋_GBK" w:cs="方正仿宋_GBK"/>
          <w:bCs/>
          <w:sz w:val="28"/>
          <w:szCs w:val="28"/>
          <w:highlight w:val="none"/>
          <w:lang w:val="en-US" w:eastAsia="zh-CN"/>
        </w:rPr>
        <w:t>及单价</w:t>
      </w:r>
      <w:r>
        <w:rPr>
          <w:rFonts w:hint="eastAsia" w:ascii="方正仿宋_GBK" w:hAnsi="方正仿宋_GBK" w:eastAsia="方正仿宋_GBK" w:cs="方正仿宋_GBK"/>
          <w:sz w:val="28"/>
          <w:szCs w:val="28"/>
          <w:highlight w:val="none"/>
        </w:rPr>
        <w:t>》</w:t>
      </w:r>
    </w:p>
    <w:p>
      <w:pPr>
        <w:pStyle w:val="65"/>
        <w:keepNext w:val="0"/>
        <w:keepLines w:val="0"/>
        <w:pageBreakBefore w:val="0"/>
        <w:kinsoku/>
        <w:wordWrap/>
        <w:overflowPunct/>
        <w:topLinePunct w:val="0"/>
        <w:bidi w:val="0"/>
        <w:snapToGrid/>
        <w:spacing w:before="0" w:after="0" w:line="440" w:lineRule="exact"/>
        <w:textAlignment w:val="auto"/>
        <w:rPr>
          <w:rFonts w:hint="eastAsia"/>
          <w:sz w:val="22"/>
          <w:szCs w:val="24"/>
          <w:highlight w:val="none"/>
        </w:rPr>
      </w:pPr>
    </w:p>
    <w:p>
      <w:pPr>
        <w:keepNext w:val="0"/>
        <w:keepLines w:val="0"/>
        <w:pageBreakBefore w:val="0"/>
        <w:kinsoku/>
        <w:wordWrap/>
        <w:overflowPunct/>
        <w:topLinePunct w:val="0"/>
        <w:bidi w:val="0"/>
        <w:snapToGrid/>
        <w:spacing w:line="440" w:lineRule="exact"/>
        <w:textAlignment w:val="auto"/>
        <w:rPr>
          <w:rFonts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甲方：重庆国际投资咨询集团有限公司     乙方：</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 xml:space="preserve">   </w:t>
      </w:r>
    </w:p>
    <w:p>
      <w:pPr>
        <w:keepNext w:val="0"/>
        <w:keepLines w:val="0"/>
        <w:pageBreakBefore w:val="0"/>
        <w:kinsoku/>
        <w:wordWrap/>
        <w:overflowPunct/>
        <w:topLinePunct w:val="0"/>
        <w:bidi w:val="0"/>
        <w:snapToGrid/>
        <w:spacing w:line="440" w:lineRule="exact"/>
        <w:textAlignment w:val="auto"/>
        <w:rPr>
          <w:rFonts w:hint="eastAsia"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w:t>
      </w:r>
      <w:r>
        <w:rPr>
          <w:rFonts w:hint="eastAsia" w:ascii="方正仿宋_GBK" w:hAnsi="方正仿宋_GBK" w:eastAsia="方正仿宋_GBK" w:cs="方正仿宋_GBK"/>
          <w:b/>
          <w:spacing w:val="-12"/>
          <w:sz w:val="28"/>
          <w:szCs w:val="28"/>
          <w:highlight w:val="none"/>
          <w:lang w:val="en-US" w:eastAsia="zh-CN"/>
        </w:rPr>
        <w:t>盖</w:t>
      </w:r>
      <w:r>
        <w:rPr>
          <w:rFonts w:hint="eastAsia" w:ascii="方正仿宋_GBK" w:hAnsi="方正仿宋_GBK" w:eastAsia="方正仿宋_GBK" w:cs="方正仿宋_GBK"/>
          <w:b/>
          <w:spacing w:val="-12"/>
          <w:sz w:val="28"/>
          <w:szCs w:val="28"/>
          <w:highlight w:val="none"/>
        </w:rPr>
        <w:t xml:space="preserve">章）                              </w:t>
      </w:r>
      <w:r>
        <w:rPr>
          <w:rFonts w:ascii="方正仿宋_GBK" w:hAnsi="方正仿宋_GBK" w:eastAsia="方正仿宋_GBK" w:cs="方正仿宋_GBK"/>
          <w:b/>
          <w:spacing w:val="-12"/>
          <w:sz w:val="28"/>
          <w:szCs w:val="28"/>
          <w:highlight w:val="none"/>
        </w:rPr>
        <w:t xml:space="preserve">    </w:t>
      </w:r>
      <w:r>
        <w:rPr>
          <w:rFonts w:hint="eastAsia" w:ascii="方正仿宋_GBK" w:hAnsi="方正仿宋_GBK" w:eastAsia="方正仿宋_GBK" w:cs="方正仿宋_GBK"/>
          <w:b/>
          <w:spacing w:val="-12"/>
          <w:sz w:val="28"/>
          <w:szCs w:val="28"/>
          <w:highlight w:val="none"/>
        </w:rPr>
        <w:t>（</w:t>
      </w:r>
      <w:r>
        <w:rPr>
          <w:rFonts w:hint="eastAsia" w:ascii="方正仿宋_GBK" w:hAnsi="方正仿宋_GBK" w:eastAsia="方正仿宋_GBK" w:cs="方正仿宋_GBK"/>
          <w:b/>
          <w:spacing w:val="-12"/>
          <w:sz w:val="28"/>
          <w:szCs w:val="28"/>
          <w:highlight w:val="none"/>
          <w:lang w:val="en-US" w:eastAsia="zh-CN"/>
        </w:rPr>
        <w:t>盖</w:t>
      </w:r>
      <w:r>
        <w:rPr>
          <w:rFonts w:hint="eastAsia" w:ascii="方正仿宋_GBK" w:hAnsi="方正仿宋_GBK" w:eastAsia="方正仿宋_GBK" w:cs="方正仿宋_GBK"/>
          <w:b/>
          <w:spacing w:val="-12"/>
          <w:sz w:val="28"/>
          <w:szCs w:val="28"/>
          <w:highlight w:val="none"/>
        </w:rPr>
        <w:t>章）</w:t>
      </w:r>
    </w:p>
    <w:p>
      <w:pPr>
        <w:keepNext w:val="0"/>
        <w:keepLines w:val="0"/>
        <w:pageBreakBefore w:val="0"/>
        <w:kinsoku/>
        <w:wordWrap/>
        <w:overflowPunct/>
        <w:topLinePunct w:val="0"/>
        <w:bidi w:val="0"/>
        <w:snapToGrid/>
        <w:spacing w:line="440" w:lineRule="exact"/>
        <w:textAlignment w:val="auto"/>
        <w:rPr>
          <w:rFonts w:hint="default" w:ascii="方正仿宋_GBK" w:hAnsi="方正仿宋_GBK" w:eastAsia="方正仿宋_GBK" w:cs="方正仿宋_GBK"/>
          <w:b/>
          <w:spacing w:val="-12"/>
          <w:sz w:val="28"/>
          <w:szCs w:val="28"/>
          <w:highlight w:val="none"/>
          <w:lang w:val="en-US" w:eastAsia="zh-CN"/>
        </w:rPr>
      </w:pPr>
      <w:r>
        <w:rPr>
          <w:rFonts w:hint="eastAsia" w:ascii="方正仿宋_GBK" w:hAnsi="方正仿宋_GBK" w:eastAsia="方正仿宋_GBK" w:cs="方正仿宋_GBK"/>
          <w:b/>
          <w:spacing w:val="-12"/>
          <w:sz w:val="28"/>
          <w:szCs w:val="28"/>
          <w:highlight w:val="none"/>
        </w:rPr>
        <w:t>法定代表人（或委托代理人）：</w:t>
      </w:r>
      <w:r>
        <w:rPr>
          <w:rFonts w:hint="eastAsia" w:ascii="方正仿宋_GBK" w:hAnsi="方正仿宋_GBK" w:eastAsia="方正仿宋_GBK" w:cs="方正仿宋_GBK"/>
          <w:b/>
          <w:spacing w:val="-12"/>
          <w:sz w:val="28"/>
          <w:szCs w:val="28"/>
          <w:highlight w:val="none"/>
        </w:rPr>
        <w:tab/>
      </w:r>
      <w:r>
        <w:rPr>
          <w:rFonts w:hint="eastAsia" w:ascii="方正仿宋_GBK" w:hAnsi="方正仿宋_GBK" w:eastAsia="方正仿宋_GBK" w:cs="方正仿宋_GBK"/>
          <w:b/>
          <w:spacing w:val="-12"/>
          <w:sz w:val="28"/>
          <w:szCs w:val="28"/>
          <w:highlight w:val="none"/>
        </w:rPr>
        <w:t xml:space="preserve">   </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法定代表人（或委托代理人）：（签字）</w:t>
      </w:r>
      <w:r>
        <w:rPr>
          <w:rFonts w:hint="eastAsia" w:ascii="方正仿宋_GBK" w:hAnsi="方正仿宋_GBK" w:eastAsia="方正仿宋_GBK" w:cs="方正仿宋_GBK"/>
          <w:b/>
          <w:spacing w:val="-12"/>
          <w:sz w:val="28"/>
          <w:szCs w:val="28"/>
          <w:highlight w:val="none"/>
          <w:lang w:val="en-US" w:eastAsia="zh-CN"/>
        </w:rPr>
        <w:t xml:space="preserve">                                   </w:t>
      </w:r>
      <w:r>
        <w:rPr>
          <w:rFonts w:hint="eastAsia" w:ascii="方正仿宋_GBK" w:hAnsi="方正仿宋_GBK" w:eastAsia="方正仿宋_GBK" w:cs="方正仿宋_GBK"/>
          <w:b/>
          <w:spacing w:val="-12"/>
          <w:sz w:val="28"/>
          <w:szCs w:val="28"/>
          <w:highlight w:val="none"/>
        </w:rPr>
        <w:t>（签字）</w:t>
      </w:r>
    </w:p>
    <w:p>
      <w:pPr>
        <w:keepNext w:val="0"/>
        <w:keepLines w:val="0"/>
        <w:pageBreakBefore w:val="0"/>
        <w:kinsoku/>
        <w:wordWrap/>
        <w:overflowPunct/>
        <w:topLinePunct w:val="0"/>
        <w:bidi w:val="0"/>
        <w:snapToGrid/>
        <w:spacing w:line="440" w:lineRule="exact"/>
        <w:jc w:val="left"/>
        <w:textAlignment w:val="auto"/>
        <w:rPr>
          <w:rFonts w:hint="eastAsia" w:ascii="方正仿宋_GBK" w:hAnsi="方正仿宋_GBK" w:eastAsia="方正仿宋_GBK" w:cs="方正仿宋_GBK"/>
          <w:b/>
          <w:spacing w:val="-12"/>
          <w:sz w:val="28"/>
          <w:szCs w:val="28"/>
          <w:highlight w:val="none"/>
        </w:rPr>
      </w:pPr>
      <w:r>
        <w:rPr>
          <w:rFonts w:hint="eastAsia" w:ascii="方正仿宋_GBK" w:hAnsi="方正仿宋_GBK" w:eastAsia="方正仿宋_GBK" w:cs="方正仿宋_GBK"/>
          <w:b/>
          <w:spacing w:val="-12"/>
          <w:sz w:val="28"/>
          <w:szCs w:val="28"/>
          <w:highlight w:val="none"/>
        </w:rPr>
        <w:t xml:space="preserve">电话：                                     电话： </w:t>
      </w:r>
    </w:p>
    <w:p>
      <w:pPr>
        <w:keepNext w:val="0"/>
        <w:keepLines w:val="0"/>
        <w:pageBreakBefore w:val="0"/>
        <w:kinsoku/>
        <w:wordWrap/>
        <w:overflowPunct/>
        <w:topLinePunct w:val="0"/>
        <w:bidi w:val="0"/>
        <w:snapToGrid/>
        <w:spacing w:line="440" w:lineRule="exact"/>
        <w:jc w:val="left"/>
        <w:textAlignment w:val="auto"/>
        <w:rPr>
          <w:rFonts w:hint="eastAsia" w:ascii="方正仿宋_GBK" w:hAnsi="方正仿宋_GBK" w:eastAsia="方正仿宋_GBK" w:cs="方正仿宋_GBK"/>
          <w:b/>
          <w:spacing w:val="-12"/>
          <w:sz w:val="24"/>
          <w:szCs w:val="24"/>
          <w:highlight w:val="none"/>
        </w:rPr>
      </w:pPr>
      <w:r>
        <w:rPr>
          <w:rFonts w:hint="eastAsia" w:ascii="方正仿宋_GBK" w:hAnsi="方正仿宋_GBK" w:eastAsia="方正仿宋_GBK" w:cs="方正仿宋_GBK"/>
          <w:b/>
          <w:spacing w:val="-12"/>
          <w:sz w:val="28"/>
          <w:szCs w:val="28"/>
          <w:highlight w:val="none"/>
        </w:rPr>
        <w:t>日期：     年    月    日                 日期：     年    月    日</w:t>
      </w:r>
      <w:bookmarkStart w:id="61" w:name="_Toc360624038"/>
      <w:bookmarkStart w:id="62" w:name="_Toc413675653"/>
      <w:bookmarkStart w:id="63" w:name="_Toc341267566"/>
    </w:p>
    <w:p>
      <w:pPr>
        <w:pStyle w:val="65"/>
        <w:rPr>
          <w:rFonts w:hint="eastAsia"/>
          <w:highlight w:val="none"/>
        </w:rPr>
      </w:pPr>
    </w:p>
    <w:p>
      <w:pPr>
        <w:pStyle w:val="65"/>
        <w:rPr>
          <w:highlight w:val="none"/>
        </w:rPr>
      </w:pPr>
    </w:p>
    <w:p>
      <w:pPr>
        <w:pStyle w:val="33"/>
        <w:spacing w:beforeAutospacing="0" w:afterAutospacing="0" w:line="560" w:lineRule="exact"/>
        <w:jc w:val="both"/>
        <w:rPr>
          <w:rFonts w:ascii="方正仿宋_GBK" w:hAnsi="方正仿宋_GBK" w:eastAsia="方正仿宋_GBK" w:cs="方正仿宋_GBK"/>
          <w:sz w:val="28"/>
          <w:szCs w:val="28"/>
          <w:highlight w:val="none"/>
        </w:rPr>
        <w:sectPr>
          <w:footerReference r:id="rId6" w:type="default"/>
          <w:pgSz w:w="11906" w:h="16838"/>
          <w:pgMar w:top="1440" w:right="1080" w:bottom="1440" w:left="1080" w:header="851" w:footer="992" w:gutter="0"/>
          <w:pgNumType w:fmt="decimal" w:chapStyle="1"/>
          <w:cols w:space="720" w:num="1"/>
          <w:docGrid w:type="lines" w:linePitch="290" w:charSpace="0"/>
        </w:sectPr>
      </w:pPr>
    </w:p>
    <w:p>
      <w:pPr>
        <w:pStyle w:val="33"/>
        <w:spacing w:beforeAutospacing="0" w:afterAutospacing="0" w:line="560" w:lineRule="exact"/>
        <w:jc w:val="both"/>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附件:</w:t>
      </w:r>
    </w:p>
    <w:p>
      <w:pPr>
        <w:jc w:val="center"/>
        <w:rPr>
          <w:rFonts w:hint="eastAsia" w:ascii="等线" w:hAnsi="等线" w:eastAsia="楷体"/>
          <w:sz w:val="18"/>
          <w:szCs w:val="20"/>
          <w:highlight w:val="none"/>
          <w:lang w:eastAsia="zh-CN"/>
        </w:rPr>
      </w:pPr>
      <w:r>
        <w:rPr>
          <w:rFonts w:hint="eastAsia" w:ascii="楷体" w:hAnsi="楷体" w:eastAsia="楷体"/>
          <w:sz w:val="40"/>
          <w:szCs w:val="40"/>
          <w:highlight w:val="none"/>
        </w:rPr>
        <w:t>清单及单价</w:t>
      </w:r>
      <w:r>
        <w:rPr>
          <w:rFonts w:hint="eastAsia" w:ascii="楷体" w:hAnsi="楷体" w:eastAsia="楷体"/>
          <w:sz w:val="40"/>
          <w:szCs w:val="40"/>
          <w:highlight w:val="none"/>
          <w:lang w:eastAsia="zh-CN"/>
        </w:rPr>
        <w:t>（</w:t>
      </w:r>
      <w:r>
        <w:rPr>
          <w:rFonts w:hint="eastAsia" w:ascii="楷体" w:hAnsi="楷体" w:eastAsia="楷体"/>
          <w:sz w:val="40"/>
          <w:szCs w:val="40"/>
          <w:highlight w:val="none"/>
          <w:lang w:val="en-US" w:eastAsia="zh-CN"/>
        </w:rPr>
        <w:t>略</w:t>
      </w:r>
      <w:r>
        <w:rPr>
          <w:rFonts w:hint="eastAsia" w:ascii="楷体" w:hAnsi="楷体" w:eastAsia="楷体"/>
          <w:sz w:val="40"/>
          <w:szCs w:val="40"/>
          <w:highlight w:val="none"/>
          <w:lang w:eastAsia="zh-CN"/>
        </w:rPr>
        <w:t>）</w:t>
      </w:r>
    </w:p>
    <w:bookmarkEnd w:id="61"/>
    <w:bookmarkEnd w:id="62"/>
    <w:bookmarkEnd w:id="63"/>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844"/>
        <w:gridCol w:w="1264"/>
        <w:gridCol w:w="790"/>
        <w:gridCol w:w="1085"/>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序号</w:t>
            </w:r>
          </w:p>
        </w:tc>
        <w:tc>
          <w:tcPr>
            <w:tcW w:w="947" w:type="pct"/>
            <w:noWrap w:val="0"/>
            <w:vAlign w:val="center"/>
          </w:tcPr>
          <w:p>
            <w:pPr>
              <w:jc w:val="center"/>
              <w:rPr>
                <w:rFonts w:ascii="Calibri" w:hAnsi="Calibri"/>
                <w:sz w:val="22"/>
                <w:szCs w:val="22"/>
                <w:highlight w:val="none"/>
              </w:rPr>
            </w:pPr>
            <w:r>
              <w:rPr>
                <w:rFonts w:hint="eastAsia" w:ascii="Calibri" w:hAnsi="Calibri"/>
                <w:sz w:val="22"/>
                <w:szCs w:val="22"/>
                <w:highlight w:val="none"/>
              </w:rPr>
              <w:t>名称</w:t>
            </w:r>
          </w:p>
        </w:tc>
        <w:tc>
          <w:tcPr>
            <w:tcW w:w="651" w:type="pct"/>
            <w:noWrap w:val="0"/>
            <w:vAlign w:val="center"/>
          </w:tcPr>
          <w:p>
            <w:pPr>
              <w:rPr>
                <w:rFonts w:ascii="Calibri" w:hAnsi="Calibri"/>
                <w:sz w:val="22"/>
                <w:szCs w:val="22"/>
                <w:highlight w:val="none"/>
              </w:rPr>
            </w:pPr>
            <w:r>
              <w:rPr>
                <w:rFonts w:hint="eastAsia" w:ascii="Calibri" w:hAnsi="Calibri"/>
                <w:sz w:val="22"/>
                <w:szCs w:val="22"/>
                <w:highlight w:val="none"/>
              </w:rPr>
              <w:t>型号/规格</w:t>
            </w:r>
          </w:p>
        </w:tc>
        <w:tc>
          <w:tcPr>
            <w:tcW w:w="410" w:type="pct"/>
            <w:noWrap w:val="0"/>
            <w:vAlign w:val="center"/>
          </w:tcPr>
          <w:p>
            <w:pPr>
              <w:rPr>
                <w:rFonts w:ascii="Calibri" w:hAnsi="Calibri"/>
                <w:sz w:val="22"/>
                <w:szCs w:val="22"/>
                <w:highlight w:val="none"/>
              </w:rPr>
            </w:pPr>
            <w:r>
              <w:rPr>
                <w:rFonts w:hint="eastAsia" w:ascii="Calibri" w:hAnsi="Calibri"/>
                <w:sz w:val="22"/>
                <w:szCs w:val="22"/>
                <w:highlight w:val="none"/>
              </w:rPr>
              <w:t>单位</w:t>
            </w:r>
          </w:p>
        </w:tc>
        <w:tc>
          <w:tcPr>
            <w:tcW w:w="560" w:type="pct"/>
            <w:noWrap w:val="0"/>
            <w:vAlign w:val="center"/>
          </w:tcPr>
          <w:p>
            <w:pPr>
              <w:jc w:val="center"/>
              <w:rPr>
                <w:rFonts w:ascii="Calibri" w:hAnsi="Calibri"/>
                <w:sz w:val="22"/>
                <w:szCs w:val="22"/>
                <w:highlight w:val="none"/>
              </w:rPr>
            </w:pPr>
            <w:r>
              <w:rPr>
                <w:rFonts w:hint="eastAsia" w:ascii="Calibri" w:hAnsi="Calibri"/>
                <w:sz w:val="22"/>
                <w:szCs w:val="22"/>
                <w:highlight w:val="none"/>
              </w:rPr>
              <w:t>单价（元）</w:t>
            </w:r>
          </w:p>
        </w:tc>
        <w:tc>
          <w:tcPr>
            <w:tcW w:w="2136" w:type="pct"/>
            <w:noWrap w:val="0"/>
            <w:vAlign w:val="center"/>
          </w:tcPr>
          <w:p>
            <w:pPr>
              <w:ind w:firstLine="360"/>
              <w:jc w:val="center"/>
              <w:rPr>
                <w:rFonts w:ascii="Calibri" w:hAnsi="Calibri"/>
                <w:sz w:val="22"/>
                <w:szCs w:val="22"/>
                <w:highlight w:val="none"/>
              </w:rPr>
            </w:pPr>
            <w:r>
              <w:rPr>
                <w:rFonts w:hint="eastAsia" w:ascii="Calibri" w:hAnsi="Calibri"/>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2</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3</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4</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5</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6</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7</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spacing w:line="300" w:lineRule="exact"/>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ind w:firstLine="360"/>
              <w:jc w:val="center"/>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8</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snapToGrid w:val="0"/>
              <w:jc w:val="left"/>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9</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jc w:val="left"/>
              <w:rPr>
                <w:rFonts w:hint="eastAsia"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10</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jc w:val="left"/>
              <w:rPr>
                <w:rFonts w:hint="eastAsia"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11</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jc w:val="left"/>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12</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jc w:val="left"/>
              <w:rPr>
                <w:rFonts w:hint="eastAsia"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13</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snapToGrid w:val="0"/>
              <w:jc w:val="left"/>
              <w:rPr>
                <w:rFonts w:ascii="Calibri" w:hAnsi="Calibri"/>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93" w:type="pct"/>
            <w:noWrap/>
            <w:vAlign w:val="center"/>
          </w:tcPr>
          <w:p>
            <w:pPr>
              <w:jc w:val="center"/>
              <w:rPr>
                <w:rFonts w:ascii="Calibri" w:hAnsi="Calibri"/>
                <w:sz w:val="22"/>
                <w:szCs w:val="22"/>
                <w:highlight w:val="none"/>
              </w:rPr>
            </w:pPr>
            <w:r>
              <w:rPr>
                <w:rFonts w:hint="eastAsia" w:ascii="Calibri" w:hAnsi="Calibri"/>
                <w:sz w:val="22"/>
                <w:szCs w:val="22"/>
                <w:highlight w:val="none"/>
              </w:rPr>
              <w:t>14</w:t>
            </w:r>
          </w:p>
        </w:tc>
        <w:tc>
          <w:tcPr>
            <w:tcW w:w="947" w:type="pct"/>
            <w:noWrap w:val="0"/>
            <w:vAlign w:val="center"/>
          </w:tcPr>
          <w:p>
            <w:pPr>
              <w:jc w:val="center"/>
              <w:rPr>
                <w:rFonts w:ascii="Calibri" w:hAnsi="Calibri"/>
                <w:sz w:val="22"/>
                <w:szCs w:val="22"/>
                <w:highlight w:val="none"/>
              </w:rPr>
            </w:pPr>
          </w:p>
        </w:tc>
        <w:tc>
          <w:tcPr>
            <w:tcW w:w="651" w:type="pct"/>
            <w:noWrap w:val="0"/>
            <w:vAlign w:val="center"/>
          </w:tcPr>
          <w:p>
            <w:pPr>
              <w:rPr>
                <w:rFonts w:ascii="Calibri" w:hAnsi="Calibri"/>
                <w:sz w:val="22"/>
                <w:szCs w:val="22"/>
                <w:highlight w:val="none"/>
              </w:rPr>
            </w:pPr>
          </w:p>
        </w:tc>
        <w:tc>
          <w:tcPr>
            <w:tcW w:w="410" w:type="pct"/>
            <w:noWrap w:val="0"/>
            <w:vAlign w:val="center"/>
          </w:tcPr>
          <w:p>
            <w:pPr>
              <w:rPr>
                <w:rFonts w:ascii="Calibri" w:hAnsi="Calibri"/>
                <w:sz w:val="22"/>
                <w:szCs w:val="22"/>
                <w:highlight w:val="none"/>
              </w:rPr>
            </w:pPr>
          </w:p>
        </w:tc>
        <w:tc>
          <w:tcPr>
            <w:tcW w:w="560" w:type="pct"/>
            <w:noWrap w:val="0"/>
            <w:vAlign w:val="center"/>
          </w:tcPr>
          <w:p>
            <w:pPr>
              <w:jc w:val="center"/>
              <w:rPr>
                <w:rFonts w:ascii="Calibri" w:hAnsi="Calibri"/>
                <w:sz w:val="22"/>
                <w:szCs w:val="22"/>
                <w:highlight w:val="none"/>
              </w:rPr>
            </w:pPr>
          </w:p>
        </w:tc>
        <w:tc>
          <w:tcPr>
            <w:tcW w:w="2136" w:type="pct"/>
            <w:noWrap w:val="0"/>
            <w:vAlign w:val="center"/>
          </w:tcPr>
          <w:p>
            <w:pPr>
              <w:snapToGrid w:val="0"/>
              <w:jc w:val="left"/>
              <w:rPr>
                <w:rFonts w:ascii="Calibri" w:hAnsi="Calibri"/>
                <w:sz w:val="22"/>
                <w:szCs w:val="22"/>
                <w:highlight w:val="none"/>
              </w:rPr>
            </w:pPr>
          </w:p>
        </w:tc>
      </w:tr>
    </w:tbl>
    <w:p>
      <w:pPr>
        <w:pStyle w:val="33"/>
        <w:spacing w:beforeAutospacing="0" w:afterAutospacing="0" w:line="560" w:lineRule="exact"/>
        <w:jc w:val="both"/>
        <w:rPr>
          <w:rFonts w:hint="eastAsia" w:ascii="微软雅黑" w:hAnsi="微软雅黑" w:eastAsia="微软雅黑" w:cs="微软雅黑"/>
          <w:sz w:val="44"/>
          <w:szCs w:val="44"/>
          <w:highlight w:val="none"/>
        </w:rPr>
      </w:pPr>
    </w:p>
    <w:p>
      <w:pPr>
        <w:rPr>
          <w:rFonts w:hint="eastAsia" w:ascii="宋体" w:hAnsi="宋体" w:cs="宋体"/>
          <w:b/>
          <w:bCs/>
          <w:color w:val="auto"/>
          <w:sz w:val="28"/>
          <w:szCs w:val="28"/>
          <w:highlight w:val="none"/>
          <w:lang w:eastAsia="zh-CN"/>
        </w:rPr>
      </w:pPr>
      <w:r>
        <w:rPr>
          <w:rFonts w:hint="eastAsia" w:ascii="宋体" w:hAnsi="宋体" w:cs="宋体"/>
          <w:b/>
          <w:bCs/>
          <w:color w:val="auto"/>
          <w:sz w:val="28"/>
          <w:szCs w:val="28"/>
          <w:highlight w:val="none"/>
          <w:lang w:eastAsia="zh-CN"/>
        </w:rPr>
        <w:br w:type="page"/>
      </w:r>
    </w:p>
    <w:p>
      <w:pPr>
        <w:snapToGrid w:val="0"/>
        <w:spacing w:line="360" w:lineRule="auto"/>
        <w:ind w:firstLine="630" w:firstLineChars="224"/>
        <w:jc w:val="center"/>
        <w:outlineLvl w:val="0"/>
        <w:rPr>
          <w:rFonts w:ascii="宋体"/>
          <w:b/>
          <w:bCs/>
          <w:color w:val="auto"/>
          <w:sz w:val="28"/>
          <w:szCs w:val="28"/>
          <w:highlight w:val="none"/>
        </w:rPr>
      </w:pPr>
      <w:r>
        <w:rPr>
          <w:rFonts w:hint="eastAsia" w:ascii="宋体" w:hAnsi="宋体" w:cs="宋体"/>
          <w:b/>
          <w:bCs/>
          <w:color w:val="auto"/>
          <w:sz w:val="28"/>
          <w:szCs w:val="28"/>
          <w:highlight w:val="none"/>
          <w:lang w:eastAsia="zh-CN"/>
        </w:rPr>
        <w:t>第</w:t>
      </w:r>
      <w:r>
        <w:rPr>
          <w:rFonts w:hint="eastAsia" w:ascii="宋体" w:hAnsi="宋体" w:cs="宋体"/>
          <w:b/>
          <w:bCs/>
          <w:color w:val="auto"/>
          <w:sz w:val="28"/>
          <w:szCs w:val="28"/>
          <w:highlight w:val="none"/>
          <w:lang w:val="en-US" w:eastAsia="zh-CN"/>
        </w:rPr>
        <w:t>四</w:t>
      </w:r>
      <w:r>
        <w:rPr>
          <w:rFonts w:hint="eastAsia" w:ascii="宋体" w:hAnsi="宋体" w:cs="宋体"/>
          <w:b/>
          <w:bCs/>
          <w:color w:val="auto"/>
          <w:sz w:val="28"/>
          <w:szCs w:val="28"/>
          <w:highlight w:val="none"/>
          <w:lang w:eastAsia="zh-CN"/>
        </w:rPr>
        <w:t>部分</w:t>
      </w:r>
      <w:r>
        <w:rPr>
          <w:rFonts w:hint="eastAsia" w:ascii="宋体" w:hAnsi="宋体" w:cs="宋体"/>
          <w:b/>
          <w:bCs/>
          <w:color w:val="auto"/>
          <w:sz w:val="28"/>
          <w:szCs w:val="28"/>
          <w:highlight w:val="none"/>
          <w:lang w:val="en-US" w:eastAsia="zh-CN"/>
        </w:rPr>
        <w:t xml:space="preserve">  </w:t>
      </w:r>
      <w:r>
        <w:rPr>
          <w:rFonts w:hint="eastAsia" w:ascii="宋体" w:hAnsi="宋体" w:cs="宋体"/>
          <w:b/>
          <w:bCs/>
          <w:color w:val="auto"/>
          <w:sz w:val="28"/>
          <w:szCs w:val="28"/>
          <w:highlight w:val="none"/>
          <w:lang w:eastAsia="zh-CN"/>
        </w:rPr>
        <w:t>响应文件</w:t>
      </w:r>
      <w:r>
        <w:rPr>
          <w:rFonts w:hint="eastAsia" w:ascii="宋体" w:hAnsi="宋体" w:cs="宋体"/>
          <w:b/>
          <w:bCs/>
          <w:color w:val="auto"/>
          <w:sz w:val="28"/>
          <w:szCs w:val="28"/>
          <w:highlight w:val="none"/>
        </w:rPr>
        <w:t>格式</w:t>
      </w:r>
      <w:bookmarkEnd w:id="59"/>
    </w:p>
    <w:p>
      <w:pPr>
        <w:snapToGrid w:val="0"/>
        <w:spacing w:line="360" w:lineRule="auto"/>
        <w:ind w:firstLine="472" w:firstLineChars="224"/>
        <w:jc w:val="center"/>
        <w:rPr>
          <w:rFonts w:ascii="宋体"/>
          <w:b/>
          <w:bCs/>
          <w:color w:val="auto"/>
          <w:highlight w:val="none"/>
        </w:rPr>
      </w:pPr>
      <w:r>
        <w:rPr>
          <w:rFonts w:ascii="宋体"/>
          <w:b/>
          <w:bCs/>
          <w:color w:val="auto"/>
          <w:highlight w:val="none"/>
        </w:rPr>
        <w:br w:type="page"/>
      </w:r>
    </w:p>
    <w:p>
      <w:pPr>
        <w:spacing w:line="360" w:lineRule="auto"/>
        <w:jc w:val="left"/>
        <w:outlineLvl w:val="1"/>
        <w:rPr>
          <w:rFonts w:ascii="宋体"/>
          <w:color w:val="auto"/>
          <w:sz w:val="28"/>
          <w:szCs w:val="28"/>
          <w:highlight w:val="none"/>
        </w:rPr>
      </w:pPr>
      <w:bookmarkStart w:id="64" w:name="_Toc3512"/>
      <w:bookmarkStart w:id="65" w:name="_Toc30821"/>
      <w:bookmarkStart w:id="66" w:name="_Toc10647"/>
      <w:r>
        <w:rPr>
          <w:rFonts w:ascii="宋体" w:hAnsi="宋体" w:cs="宋体"/>
          <w:b/>
          <w:bCs/>
          <w:color w:val="auto"/>
          <w:sz w:val="28"/>
          <w:szCs w:val="28"/>
          <w:highlight w:val="none"/>
        </w:rPr>
        <w:t>(</w:t>
      </w:r>
      <w:r>
        <w:rPr>
          <w:rFonts w:hint="eastAsia" w:ascii="宋体" w:hAnsi="宋体" w:cs="宋体"/>
          <w:b/>
          <w:bCs/>
          <w:color w:val="auto"/>
          <w:sz w:val="28"/>
          <w:szCs w:val="28"/>
          <w:highlight w:val="none"/>
        </w:rPr>
        <w:t>正</w:t>
      </w:r>
      <w:r>
        <w:rPr>
          <w:rFonts w:ascii="宋体" w:hAnsi="宋体" w:cs="宋体"/>
          <w:b/>
          <w:bCs/>
          <w:color w:val="auto"/>
          <w:sz w:val="28"/>
          <w:szCs w:val="28"/>
          <w:highlight w:val="none"/>
        </w:rPr>
        <w:t>/</w:t>
      </w:r>
      <w:r>
        <w:rPr>
          <w:rFonts w:hint="eastAsia" w:ascii="宋体" w:hAnsi="宋体" w:cs="宋体"/>
          <w:b/>
          <w:bCs/>
          <w:color w:val="auto"/>
          <w:sz w:val="28"/>
          <w:szCs w:val="28"/>
          <w:highlight w:val="none"/>
        </w:rPr>
        <w:t>副本</w:t>
      </w:r>
      <w:r>
        <w:rPr>
          <w:rFonts w:ascii="宋体" w:hAnsi="宋体" w:cs="宋体"/>
          <w:b/>
          <w:bCs/>
          <w:color w:val="auto"/>
          <w:sz w:val="28"/>
          <w:szCs w:val="28"/>
          <w:highlight w:val="none"/>
        </w:rPr>
        <w:t>)</w:t>
      </w:r>
      <w:bookmarkEnd w:id="64"/>
      <w:bookmarkEnd w:id="65"/>
      <w:bookmarkEnd w:id="66"/>
    </w:p>
    <w:p>
      <w:pPr>
        <w:spacing w:line="360" w:lineRule="auto"/>
        <w:jc w:val="left"/>
        <w:rPr>
          <w:rFonts w:ascii="宋体"/>
          <w:color w:val="auto"/>
          <w:sz w:val="32"/>
          <w:szCs w:val="32"/>
          <w:highlight w:val="none"/>
        </w:rPr>
      </w:pPr>
    </w:p>
    <w:p>
      <w:pPr>
        <w:spacing w:line="360" w:lineRule="auto"/>
        <w:jc w:val="left"/>
        <w:rPr>
          <w:rFonts w:ascii="宋体"/>
          <w:color w:val="auto"/>
          <w:sz w:val="32"/>
          <w:szCs w:val="32"/>
          <w:highlight w:val="none"/>
        </w:rPr>
      </w:pPr>
    </w:p>
    <w:p>
      <w:pPr>
        <w:spacing w:line="360" w:lineRule="auto"/>
        <w:jc w:val="left"/>
        <w:rPr>
          <w:rFonts w:ascii="宋体"/>
          <w:color w:val="auto"/>
          <w:sz w:val="28"/>
          <w:szCs w:val="28"/>
          <w:highlight w:val="none"/>
        </w:rPr>
      </w:pPr>
    </w:p>
    <w:p>
      <w:pPr>
        <w:spacing w:line="360" w:lineRule="auto"/>
        <w:jc w:val="center"/>
        <w:outlineLvl w:val="1"/>
        <w:rPr>
          <w:rFonts w:hint="eastAsia" w:ascii="宋体" w:eastAsia="宋体"/>
          <w:color w:val="auto"/>
          <w:sz w:val="28"/>
          <w:szCs w:val="28"/>
          <w:highlight w:val="none"/>
          <w:lang w:eastAsia="zh-CN"/>
        </w:rPr>
      </w:pPr>
      <w:r>
        <w:rPr>
          <w:rFonts w:hint="eastAsia" w:ascii="宋体" w:hAnsi="宋体" w:cs="宋体"/>
          <w:b/>
          <w:bCs/>
          <w:color w:val="auto"/>
          <w:sz w:val="72"/>
          <w:szCs w:val="72"/>
          <w:highlight w:val="none"/>
          <w:lang w:eastAsia="zh-CN"/>
        </w:rPr>
        <w:t>响应文件</w:t>
      </w: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jc w:val="left"/>
        <w:rPr>
          <w:rFonts w:ascii="宋体"/>
          <w:color w:val="auto"/>
          <w:sz w:val="28"/>
          <w:szCs w:val="28"/>
          <w:highlight w:val="none"/>
        </w:rPr>
      </w:pPr>
    </w:p>
    <w:p>
      <w:pPr>
        <w:spacing w:line="360" w:lineRule="auto"/>
        <w:ind w:firstLine="1120" w:firstLineChars="400"/>
        <w:outlineLvl w:val="1"/>
        <w:rPr>
          <w:rFonts w:ascii="宋体"/>
          <w:color w:val="auto"/>
          <w:sz w:val="28"/>
          <w:szCs w:val="28"/>
          <w:highlight w:val="none"/>
          <w:u w:val="single"/>
        </w:rPr>
      </w:pPr>
      <w:bookmarkStart w:id="67" w:name="_Toc19213"/>
      <w:bookmarkStart w:id="68" w:name="_Toc15178"/>
      <w:bookmarkStart w:id="69" w:name="_Toc24164"/>
      <w:r>
        <w:rPr>
          <w:rFonts w:hint="eastAsia" w:ascii="宋体" w:hAnsi="宋体" w:cs="宋体"/>
          <w:color w:val="auto"/>
          <w:sz w:val="28"/>
          <w:szCs w:val="28"/>
          <w:highlight w:val="none"/>
        </w:rPr>
        <w:t>项目名称：</w:t>
      </w:r>
      <w:bookmarkEnd w:id="67"/>
      <w:bookmarkEnd w:id="68"/>
      <w:bookmarkEnd w:id="69"/>
      <w:r>
        <w:rPr>
          <w:rFonts w:hint="eastAsia" w:ascii="宋体" w:hAnsi="宋体" w:cs="宋体"/>
          <w:color w:val="auto"/>
          <w:sz w:val="28"/>
          <w:szCs w:val="28"/>
          <w:highlight w:val="none"/>
          <w:u w:val="single"/>
          <w:lang w:eastAsia="zh-CN"/>
        </w:rPr>
        <w:t>重咨集团2025年办公家具类采购（第三次）</w:t>
      </w:r>
      <w:r>
        <w:rPr>
          <w:rFonts w:hint="eastAsia" w:ascii="宋体" w:hAnsi="宋体" w:cs="宋体"/>
          <w:color w:val="auto"/>
          <w:sz w:val="28"/>
          <w:szCs w:val="28"/>
          <w:highlight w:val="none"/>
          <w:u w:val="single"/>
        </w:rPr>
        <w:t xml:space="preserve"> </w:t>
      </w:r>
    </w:p>
    <w:p>
      <w:pPr>
        <w:spacing w:line="360" w:lineRule="auto"/>
        <w:ind w:firstLine="1120" w:firstLineChars="400"/>
        <w:rPr>
          <w:rFonts w:ascii="宋体"/>
          <w:color w:val="auto"/>
          <w:sz w:val="28"/>
          <w:szCs w:val="28"/>
          <w:highlight w:val="none"/>
          <w:u w:val="single"/>
        </w:rPr>
      </w:pPr>
    </w:p>
    <w:p>
      <w:pPr>
        <w:spacing w:line="360" w:lineRule="auto"/>
        <w:ind w:firstLine="1120" w:firstLineChars="400"/>
        <w:outlineLvl w:val="1"/>
        <w:rPr>
          <w:rFonts w:ascii="宋体"/>
          <w:color w:val="auto"/>
          <w:sz w:val="28"/>
          <w:szCs w:val="28"/>
          <w:highlight w:val="none"/>
          <w:u w:val="single"/>
        </w:rPr>
      </w:pPr>
      <w:bookmarkStart w:id="70" w:name="_Toc17622"/>
      <w:bookmarkStart w:id="71" w:name="_Toc22565"/>
      <w:bookmarkStart w:id="72" w:name="_Toc21195"/>
      <w:r>
        <w:rPr>
          <w:rFonts w:hint="eastAsia" w:ascii="宋体" w:hAnsi="宋体" w:cs="宋体"/>
          <w:color w:val="auto"/>
          <w:sz w:val="28"/>
          <w:szCs w:val="28"/>
          <w:highlight w:val="none"/>
        </w:rPr>
        <w:t>比选申请人</w:t>
      </w:r>
      <w:r>
        <w:rPr>
          <w:rFonts w:ascii="宋体" w:hAnsi="宋体" w:cs="宋体"/>
          <w:color w:val="auto"/>
          <w:sz w:val="28"/>
          <w:szCs w:val="28"/>
          <w:highlight w:val="none"/>
        </w:rPr>
        <w:t>:</w:t>
      </w:r>
      <w:r>
        <w:rPr>
          <w:rFonts w:hint="eastAsia" w:ascii="宋体" w:hAnsi="宋体" w:cs="宋体"/>
          <w:color w:val="auto"/>
          <w:sz w:val="28"/>
          <w:szCs w:val="28"/>
          <w:highlight w:val="none"/>
          <w:u w:val="single"/>
        </w:rPr>
        <w:t xml:space="preserve">    （盖单位公章）</w:t>
      </w:r>
      <w:bookmarkEnd w:id="70"/>
      <w:bookmarkEnd w:id="71"/>
      <w:bookmarkEnd w:id="72"/>
    </w:p>
    <w:p>
      <w:pPr>
        <w:spacing w:line="360" w:lineRule="auto"/>
        <w:ind w:firstLine="1120" w:firstLineChars="400"/>
        <w:rPr>
          <w:rFonts w:ascii="宋体"/>
          <w:color w:val="auto"/>
          <w:sz w:val="28"/>
          <w:szCs w:val="28"/>
          <w:highlight w:val="none"/>
          <w:u w:val="single"/>
        </w:rPr>
      </w:pPr>
    </w:p>
    <w:p>
      <w:pPr>
        <w:spacing w:line="360" w:lineRule="auto"/>
        <w:ind w:firstLine="1120" w:firstLineChars="400"/>
        <w:jc w:val="left"/>
        <w:outlineLvl w:val="1"/>
        <w:rPr>
          <w:rFonts w:ascii="宋体"/>
          <w:color w:val="auto"/>
          <w:sz w:val="28"/>
          <w:szCs w:val="28"/>
          <w:highlight w:val="none"/>
          <w:u w:val="single"/>
        </w:rPr>
      </w:pPr>
      <w:bookmarkStart w:id="73" w:name="_Toc21790"/>
      <w:bookmarkStart w:id="74" w:name="_Toc3722"/>
      <w:bookmarkStart w:id="75" w:name="_Toc20741"/>
      <w:r>
        <w:rPr>
          <w:rFonts w:hint="eastAsia" w:ascii="宋体" w:hAnsi="宋体" w:cs="宋体"/>
          <w:color w:val="auto"/>
          <w:sz w:val="28"/>
          <w:szCs w:val="28"/>
          <w:highlight w:val="none"/>
        </w:rPr>
        <w:t>法定代表人或其委托代理人</w:t>
      </w:r>
      <w:r>
        <w:rPr>
          <w:rFonts w:ascii="宋体" w:hAnsi="宋体" w:cs="宋体"/>
          <w:color w:val="auto"/>
          <w:sz w:val="28"/>
          <w:szCs w:val="28"/>
          <w:highlight w:val="none"/>
        </w:rPr>
        <w:t>:</w:t>
      </w:r>
      <w:r>
        <w:rPr>
          <w:rFonts w:hint="eastAsia" w:ascii="宋体" w:hAnsi="宋体" w:cs="宋体"/>
          <w:color w:val="auto"/>
          <w:sz w:val="28"/>
          <w:szCs w:val="28"/>
          <w:highlight w:val="none"/>
          <w:u w:val="single"/>
        </w:rPr>
        <w:t>　　　　　（签名或盖章）</w:t>
      </w:r>
      <w:bookmarkEnd w:id="73"/>
      <w:bookmarkEnd w:id="74"/>
      <w:bookmarkEnd w:id="75"/>
    </w:p>
    <w:p>
      <w:pPr>
        <w:spacing w:line="360" w:lineRule="auto"/>
        <w:ind w:firstLine="1120" w:firstLineChars="400"/>
        <w:jc w:val="left"/>
        <w:rPr>
          <w:rFonts w:ascii="宋体"/>
          <w:color w:val="auto"/>
          <w:sz w:val="28"/>
          <w:szCs w:val="28"/>
          <w:highlight w:val="none"/>
        </w:rPr>
      </w:pPr>
    </w:p>
    <w:p>
      <w:pPr>
        <w:spacing w:line="360" w:lineRule="auto"/>
        <w:ind w:firstLine="1120" w:firstLineChars="400"/>
        <w:outlineLvl w:val="1"/>
        <w:rPr>
          <w:rFonts w:ascii="宋体"/>
          <w:color w:val="auto"/>
          <w:sz w:val="28"/>
          <w:szCs w:val="28"/>
          <w:highlight w:val="none"/>
          <w:u w:val="single"/>
        </w:rPr>
      </w:pPr>
      <w:bookmarkStart w:id="76" w:name="_Toc2482"/>
      <w:bookmarkStart w:id="77" w:name="_Toc627"/>
      <w:bookmarkStart w:id="78" w:name="_Toc8975"/>
      <w:r>
        <w:rPr>
          <w:rFonts w:hint="eastAsia" w:ascii="宋体" w:hAnsi="宋体" w:cs="宋体"/>
          <w:color w:val="auto"/>
          <w:sz w:val="28"/>
          <w:szCs w:val="28"/>
          <w:highlight w:val="none"/>
        </w:rPr>
        <w:t>地址：</w:t>
      </w:r>
      <w:bookmarkEnd w:id="76"/>
      <w:bookmarkEnd w:id="77"/>
      <w:bookmarkEnd w:id="78"/>
    </w:p>
    <w:p>
      <w:pPr>
        <w:spacing w:line="360" w:lineRule="auto"/>
        <w:ind w:firstLine="1120" w:firstLineChars="400"/>
        <w:rPr>
          <w:rFonts w:ascii="宋体"/>
          <w:color w:val="auto"/>
          <w:sz w:val="28"/>
          <w:szCs w:val="28"/>
          <w:highlight w:val="none"/>
          <w:u w:val="single"/>
        </w:rPr>
      </w:pPr>
    </w:p>
    <w:p>
      <w:pPr>
        <w:snapToGrid w:val="0"/>
        <w:spacing w:line="360" w:lineRule="auto"/>
        <w:ind w:firstLine="1184" w:firstLineChars="423"/>
        <w:outlineLvl w:val="1"/>
        <w:rPr>
          <w:rFonts w:ascii="宋体" w:hAnsi="宋体" w:cs="宋体"/>
          <w:color w:val="auto"/>
          <w:sz w:val="28"/>
          <w:szCs w:val="28"/>
          <w:highlight w:val="none"/>
        </w:rPr>
        <w:sectPr>
          <w:pgSz w:w="11906" w:h="16838"/>
          <w:pgMar w:top="1276" w:right="1162" w:bottom="1135" w:left="1134" w:header="851" w:footer="992" w:gutter="0"/>
          <w:pgNumType w:fmt="decimal"/>
          <w:cols w:space="720" w:num="1"/>
          <w:titlePg/>
          <w:docGrid w:type="lines" w:linePitch="312" w:charSpace="0"/>
        </w:sectPr>
      </w:pPr>
      <w:bookmarkStart w:id="79" w:name="_Toc5714"/>
      <w:bookmarkStart w:id="80" w:name="_Toc6842"/>
      <w:bookmarkStart w:id="81" w:name="_Toc237"/>
      <w:r>
        <w:rPr>
          <w:rFonts w:hint="eastAsia" w:ascii="宋体" w:hAnsi="宋体" w:cs="宋体"/>
          <w:color w:val="auto"/>
          <w:sz w:val="28"/>
          <w:szCs w:val="28"/>
          <w:highlight w:val="none"/>
        </w:rPr>
        <w:t>日期：  年  月  日</w:t>
      </w:r>
      <w:bookmarkEnd w:id="79"/>
    </w:p>
    <w:p>
      <w:pPr>
        <w:snapToGrid w:val="0"/>
        <w:spacing w:line="360" w:lineRule="auto"/>
        <w:jc w:val="center"/>
        <w:outlineLvl w:val="1"/>
        <w:rPr>
          <w:rFonts w:ascii="宋体"/>
          <w:b/>
          <w:bCs/>
          <w:color w:val="auto"/>
          <w:sz w:val="28"/>
          <w:szCs w:val="28"/>
          <w:highlight w:val="none"/>
        </w:rPr>
      </w:pPr>
      <w:bookmarkStart w:id="82" w:name="_Toc25160"/>
      <w:r>
        <w:rPr>
          <w:rFonts w:hint="eastAsia" w:ascii="宋体"/>
          <w:b/>
          <w:bCs/>
          <w:color w:val="auto"/>
          <w:sz w:val="28"/>
          <w:szCs w:val="28"/>
          <w:highlight w:val="none"/>
        </w:rPr>
        <w:t>目 录</w:t>
      </w:r>
      <w:bookmarkEnd w:id="82"/>
    </w:p>
    <w:p>
      <w:pPr>
        <w:snapToGrid w:val="0"/>
        <w:spacing w:line="360" w:lineRule="auto"/>
        <w:jc w:val="center"/>
        <w:outlineLvl w:val="1"/>
        <w:rPr>
          <w:rFonts w:ascii="宋体"/>
          <w:b/>
          <w:bCs/>
          <w:color w:val="auto"/>
          <w:spacing w:val="8"/>
          <w:sz w:val="28"/>
          <w:szCs w:val="28"/>
          <w:highlight w:val="none"/>
        </w:rPr>
      </w:pPr>
      <w:bookmarkStart w:id="83" w:name="_Toc9367"/>
      <w:r>
        <w:rPr>
          <w:rFonts w:hint="eastAsia" w:ascii="宋体"/>
          <w:b/>
          <w:bCs/>
          <w:color w:val="auto"/>
          <w:highlight w:val="none"/>
        </w:rPr>
        <w:t>比选申请人自拟</w:t>
      </w:r>
      <w:r>
        <w:rPr>
          <w:rFonts w:ascii="宋体"/>
          <w:b/>
          <w:bCs/>
          <w:color w:val="auto"/>
          <w:highlight w:val="none"/>
        </w:rPr>
        <w:br w:type="page"/>
      </w:r>
      <w:bookmarkEnd w:id="80"/>
      <w:bookmarkEnd w:id="81"/>
      <w:bookmarkEnd w:id="83"/>
      <w:bookmarkStart w:id="84" w:name="_Toc31102"/>
      <w:bookmarkStart w:id="85" w:name="_Toc19618"/>
      <w:bookmarkStart w:id="86" w:name="_Toc25795"/>
      <w:bookmarkStart w:id="87" w:name="_Toc219178931"/>
      <w:r>
        <w:rPr>
          <w:rFonts w:hint="eastAsia" w:ascii="宋体" w:hAnsi="宋体" w:cs="宋体"/>
          <w:b/>
          <w:bCs/>
          <w:color w:val="auto"/>
          <w:spacing w:val="8"/>
          <w:sz w:val="28"/>
          <w:szCs w:val="28"/>
          <w:highlight w:val="none"/>
          <w:lang w:eastAsia="zh-CN"/>
        </w:rPr>
        <w:t>一、</w:t>
      </w:r>
      <w:r>
        <w:rPr>
          <w:rFonts w:hint="eastAsia" w:ascii="宋体" w:hAnsi="宋体" w:cs="宋体"/>
          <w:b/>
          <w:bCs/>
          <w:color w:val="auto"/>
          <w:spacing w:val="8"/>
          <w:sz w:val="28"/>
          <w:szCs w:val="28"/>
          <w:highlight w:val="none"/>
        </w:rPr>
        <w:t>比选</w:t>
      </w:r>
      <w:r>
        <w:rPr>
          <w:rFonts w:hint="eastAsia" w:ascii="宋体" w:hAnsi="宋体" w:cs="宋体"/>
          <w:b/>
          <w:bCs/>
          <w:color w:val="auto"/>
          <w:spacing w:val="8"/>
          <w:sz w:val="28"/>
          <w:szCs w:val="28"/>
          <w:highlight w:val="none"/>
          <w:lang w:val="en-US" w:eastAsia="zh-CN"/>
        </w:rPr>
        <w:t>响应</w:t>
      </w:r>
      <w:r>
        <w:rPr>
          <w:rFonts w:hint="eastAsia" w:ascii="宋体" w:hAnsi="宋体" w:cs="宋体"/>
          <w:b/>
          <w:bCs/>
          <w:color w:val="auto"/>
          <w:spacing w:val="8"/>
          <w:sz w:val="28"/>
          <w:szCs w:val="28"/>
          <w:highlight w:val="none"/>
        </w:rPr>
        <w:t>函</w:t>
      </w:r>
      <w:bookmarkEnd w:id="84"/>
      <w:bookmarkEnd w:id="85"/>
      <w:bookmarkEnd w:id="86"/>
    </w:p>
    <w:p>
      <w:pPr>
        <w:tabs>
          <w:tab w:val="left" w:pos="7140"/>
          <w:tab w:val="left" w:pos="7560"/>
          <w:tab w:val="left" w:pos="8300"/>
        </w:tabs>
        <w:autoSpaceDE w:val="0"/>
        <w:autoSpaceDN w:val="0"/>
        <w:adjustRightInd w:val="0"/>
        <w:snapToGrid w:val="0"/>
        <w:spacing w:line="400" w:lineRule="exact"/>
        <w:ind w:right="210"/>
        <w:rPr>
          <w:rFonts w:ascii="宋体" w:hAnsi="宋体"/>
          <w:color w:val="auto"/>
          <w:highlight w:val="none"/>
        </w:rPr>
      </w:pPr>
      <w:bookmarkStart w:id="88" w:name="_Toc14319"/>
      <w:bookmarkStart w:id="89" w:name="_Toc534185832"/>
      <w:bookmarkStart w:id="90" w:name="_Toc509218855"/>
      <w:r>
        <w:rPr>
          <w:rFonts w:hint="eastAsia" w:ascii="宋体" w:hAnsi="宋体"/>
          <w:color w:val="auto"/>
          <w:highlight w:val="none"/>
        </w:rPr>
        <w:t>致：（比选人名称）</w:t>
      </w:r>
    </w:p>
    <w:p>
      <w:pPr>
        <w:snapToGrid/>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我们已经仔细地研究了</w:t>
      </w:r>
      <w:r>
        <w:rPr>
          <w:rFonts w:hint="eastAsia" w:ascii="宋体" w:hAnsi="宋体"/>
          <w:color w:val="auto"/>
          <w:highlight w:val="none"/>
          <w:u w:val="single"/>
        </w:rPr>
        <w:t xml:space="preserve"> </w:t>
      </w:r>
      <w:r>
        <w:rPr>
          <w:rFonts w:hint="eastAsia" w:ascii="宋体" w:hAnsi="宋体"/>
          <w:color w:val="auto"/>
          <w:highlight w:val="none"/>
          <w:u w:val="single"/>
          <w:lang w:eastAsia="zh-CN"/>
        </w:rPr>
        <w:t>重咨集团2025年办公家具类采购（第三次）</w:t>
      </w:r>
      <w:r>
        <w:rPr>
          <w:rFonts w:hint="eastAsia" w:ascii="宋体" w:hAnsi="宋体"/>
          <w:color w:val="auto"/>
          <w:highlight w:val="none"/>
          <w:u w:val="single"/>
        </w:rPr>
        <w:t xml:space="preserve"> </w:t>
      </w:r>
      <w:r>
        <w:rPr>
          <w:rFonts w:hint="eastAsia" w:ascii="宋体" w:hAnsi="宋体"/>
          <w:color w:val="auto"/>
          <w:highlight w:val="none"/>
        </w:rPr>
        <w:t>的全部内容，包括但不限于</w:t>
      </w:r>
      <w:r>
        <w:rPr>
          <w:rFonts w:hint="eastAsia" w:ascii="宋体" w:hAnsi="宋体"/>
          <w:color w:val="auto"/>
          <w:highlight w:val="none"/>
          <w:lang w:eastAsia="zh-CN"/>
        </w:rPr>
        <w:t>竞争性</w:t>
      </w:r>
      <w:r>
        <w:rPr>
          <w:rFonts w:hint="eastAsia" w:ascii="宋体" w:hAnsi="宋体"/>
          <w:color w:val="auto"/>
          <w:highlight w:val="none"/>
        </w:rPr>
        <w:t>比选文件</w:t>
      </w:r>
      <w:r>
        <w:rPr>
          <w:rFonts w:hint="eastAsia" w:ascii="宋体" w:hAnsi="宋体"/>
          <w:color w:val="auto"/>
          <w:highlight w:val="none"/>
          <w:lang w:eastAsia="zh-CN"/>
        </w:rPr>
        <w:t>、比选内容、服务要求、答疑补遗或澄清文件（如有），</w:t>
      </w:r>
      <w:r>
        <w:rPr>
          <w:rFonts w:hint="eastAsia" w:ascii="宋体" w:hAnsi="宋体"/>
          <w:color w:val="auto"/>
          <w:highlight w:val="none"/>
        </w:rPr>
        <w:t>并考</w:t>
      </w:r>
      <w:r>
        <w:rPr>
          <w:rFonts w:hint="eastAsia" w:ascii="宋体" w:hAnsi="宋体"/>
          <w:color w:val="auto"/>
          <w:highlight w:val="none"/>
          <w:u w:val="none"/>
        </w:rPr>
        <w:t>虑到了潜在所有风险</w:t>
      </w:r>
      <w:r>
        <w:rPr>
          <w:rFonts w:hint="eastAsia" w:ascii="宋体" w:hAnsi="宋体" w:cs="宋体"/>
          <w:color w:val="auto"/>
          <w:highlight w:val="none"/>
          <w:u w:val="none"/>
          <w:lang w:eastAsia="zh-CN"/>
        </w:rPr>
        <w:t>，我司愿意以</w:t>
      </w:r>
      <w:r>
        <w:rPr>
          <w:rFonts w:hint="eastAsia" w:ascii="宋体" w:hAnsi="宋体"/>
          <w:color w:val="auto"/>
          <w:highlight w:val="none"/>
          <w:u w:val="none"/>
          <w:lang w:eastAsia="zh-CN"/>
        </w:rPr>
        <w:t>响应</w:t>
      </w:r>
      <w:r>
        <w:rPr>
          <w:rFonts w:hint="eastAsia" w:ascii="宋体" w:hAnsi="宋体"/>
          <w:color w:val="auto"/>
          <w:highlight w:val="none"/>
          <w:u w:val="none"/>
          <w:lang w:val="en-US" w:eastAsia="zh-CN"/>
        </w:rPr>
        <w:t>总</w:t>
      </w:r>
      <w:r>
        <w:rPr>
          <w:rFonts w:hint="eastAsia" w:ascii="宋体" w:hAnsi="宋体"/>
          <w:color w:val="auto"/>
          <w:highlight w:val="none"/>
          <w:u w:val="none"/>
          <w:lang w:eastAsia="zh-CN"/>
        </w:rPr>
        <w:t>报价</w:t>
      </w:r>
      <w:r>
        <w:rPr>
          <w:rFonts w:hint="eastAsia" w:ascii="宋体" w:hAnsi="宋体"/>
          <w:color w:val="auto"/>
          <w:highlight w:val="none"/>
          <w:u w:val="none"/>
        </w:rPr>
        <w:t xml:space="preserve">为       </w:t>
      </w:r>
      <w:r>
        <w:rPr>
          <w:rFonts w:hint="eastAsia" w:ascii="宋体" w:hAnsi="宋体"/>
          <w:color w:val="auto"/>
          <w:highlight w:val="none"/>
          <w:u w:val="none"/>
          <w:lang w:val="en-US" w:eastAsia="zh-CN"/>
        </w:rPr>
        <w:t xml:space="preserve">  元</w:t>
      </w:r>
      <w:r>
        <w:rPr>
          <w:rFonts w:hint="eastAsia" w:ascii="宋体" w:hAnsi="宋体"/>
          <w:color w:val="auto"/>
          <w:highlight w:val="none"/>
          <w:u w:val="none"/>
          <w:lang w:eastAsia="zh-CN"/>
        </w:rPr>
        <w:t>（大写：</w:t>
      </w:r>
      <w:r>
        <w:rPr>
          <w:rFonts w:hint="eastAsia" w:ascii="宋体" w:hAnsi="宋体"/>
          <w:color w:val="auto"/>
          <w:highlight w:val="none"/>
          <w:u w:val="none"/>
          <w:lang w:val="en-US" w:eastAsia="zh-CN"/>
        </w:rPr>
        <w:t xml:space="preserve">         ）进行报价，分项报价详见比选响应函附表。我们</w:t>
      </w:r>
      <w:r>
        <w:rPr>
          <w:rFonts w:hint="eastAsia" w:ascii="宋体" w:hAnsi="宋体"/>
          <w:color w:val="auto"/>
          <w:highlight w:val="none"/>
        </w:rPr>
        <w:t>承诺</w:t>
      </w:r>
      <w:r>
        <w:rPr>
          <w:rFonts w:hint="eastAsia" w:ascii="宋体" w:hAnsi="宋体"/>
          <w:color w:val="auto"/>
          <w:highlight w:val="none"/>
          <w:lang w:eastAsia="zh-CN"/>
        </w:rPr>
        <w:t>按比选文件要求、</w:t>
      </w:r>
      <w:r>
        <w:rPr>
          <w:rFonts w:hint="eastAsia" w:ascii="宋体" w:hAnsi="宋体"/>
          <w:color w:val="auto"/>
          <w:highlight w:val="none"/>
        </w:rPr>
        <w:t>合同规定的范围内履行执行完成的全部工作内容。（</w:t>
      </w:r>
      <w:r>
        <w:rPr>
          <w:rFonts w:hint="eastAsia" w:ascii="宋体" w:hAnsi="宋体"/>
          <w:color w:val="auto"/>
          <w:highlight w:val="none"/>
          <w:lang w:eastAsia="zh-CN"/>
        </w:rPr>
        <w:t>建议</w:t>
      </w:r>
      <w:r>
        <w:rPr>
          <w:rFonts w:hint="eastAsia" w:ascii="宋体" w:hAnsi="宋体"/>
          <w:color w:val="auto"/>
          <w:highlight w:val="none"/>
        </w:rPr>
        <w:t>报价保留小数点后两位）。</w:t>
      </w:r>
      <w:r>
        <w:rPr>
          <w:rFonts w:hint="eastAsia" w:ascii="宋体" w:hAnsi="宋体"/>
          <w:highlight w:val="none"/>
        </w:rPr>
        <w:t>我们承诺</w:t>
      </w:r>
      <w:r>
        <w:rPr>
          <w:rFonts w:hint="eastAsia" w:ascii="宋体" w:hAnsi="宋体"/>
          <w:highlight w:val="none"/>
          <w:lang w:eastAsia="zh-CN"/>
        </w:rPr>
        <w:t>，</w:t>
      </w:r>
      <w:r>
        <w:rPr>
          <w:rFonts w:hint="eastAsia" w:ascii="宋体"/>
          <w:highlight w:val="none"/>
        </w:rPr>
        <w:t>所递交的</w:t>
      </w:r>
      <w:r>
        <w:rPr>
          <w:rFonts w:hint="eastAsia" w:ascii="宋体"/>
          <w:highlight w:val="none"/>
          <w:lang w:eastAsia="zh-CN"/>
        </w:rPr>
        <w:t>响应文件</w:t>
      </w:r>
      <w:r>
        <w:rPr>
          <w:rFonts w:hint="eastAsia" w:ascii="宋体"/>
          <w:highlight w:val="none"/>
        </w:rPr>
        <w:t>资料内容完整、真实和准确，且完全响应比选人发布的竞争性比选文件、限价及合同条款等附件中的所有内容，不存在弄虚作假情形，</w:t>
      </w:r>
      <w:r>
        <w:rPr>
          <w:rFonts w:hint="eastAsia" w:ascii="宋体" w:hAnsi="宋体" w:cs="宋体"/>
          <w:kern w:val="0"/>
          <w:highlight w:val="none"/>
          <w:lang w:eastAsia="zh-CN"/>
        </w:rPr>
        <w:t>响应文件</w:t>
      </w:r>
      <w:r>
        <w:rPr>
          <w:rFonts w:hint="eastAsia" w:ascii="宋体" w:hAnsi="宋体" w:cs="宋体"/>
          <w:kern w:val="0"/>
          <w:highlight w:val="none"/>
        </w:rPr>
        <w:t>不附有比选人不能接受的条件</w:t>
      </w:r>
      <w:r>
        <w:rPr>
          <w:rFonts w:hint="eastAsia" w:ascii="宋体" w:hAnsi="宋体"/>
          <w:highlight w:val="none"/>
        </w:rPr>
        <w:t>。</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u w:val="none"/>
          <w:lang w:val="en-US" w:eastAsia="zh-CN"/>
        </w:rPr>
        <w:t>2.交货期</w:t>
      </w:r>
      <w:r>
        <w:rPr>
          <w:rFonts w:hint="eastAsia" w:ascii="宋体" w:hAnsi="宋体"/>
          <w:color w:val="auto"/>
          <w:highlight w:val="none"/>
          <w:lang w:eastAsia="zh-CN"/>
        </w:rPr>
        <w:t>：满足竞争性比选文件要求；</w:t>
      </w:r>
      <w:r>
        <w:rPr>
          <w:rFonts w:hint="eastAsia" w:ascii="宋体" w:hAnsi="宋体"/>
          <w:color w:val="auto"/>
          <w:highlight w:val="none"/>
          <w:lang w:val="en-US" w:eastAsia="zh-CN"/>
        </w:rPr>
        <w:t>交货地点：比选人指定地点；质保期：___年。</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我们同意在从规定的递交</w:t>
      </w:r>
      <w:r>
        <w:rPr>
          <w:rFonts w:hint="eastAsia" w:ascii="宋体" w:hAnsi="宋体"/>
          <w:color w:val="auto"/>
          <w:highlight w:val="none"/>
          <w:lang w:eastAsia="zh-CN"/>
        </w:rPr>
        <w:t>响应文件</w:t>
      </w:r>
      <w:r>
        <w:rPr>
          <w:rFonts w:hint="eastAsia" w:ascii="宋体" w:hAnsi="宋体"/>
          <w:color w:val="auto"/>
          <w:highlight w:val="none"/>
        </w:rPr>
        <w:t>截止之日起到比选有效期满前遵守本</w:t>
      </w:r>
      <w:r>
        <w:rPr>
          <w:rFonts w:hint="eastAsia" w:ascii="宋体" w:hAnsi="宋体"/>
          <w:color w:val="auto"/>
          <w:highlight w:val="none"/>
          <w:lang w:eastAsia="zh-CN"/>
        </w:rPr>
        <w:t>响应文件</w:t>
      </w:r>
      <w:r>
        <w:rPr>
          <w:rFonts w:hint="eastAsia" w:ascii="宋体" w:hAnsi="宋体"/>
          <w:color w:val="auto"/>
          <w:highlight w:val="none"/>
        </w:rPr>
        <w:t>。且本</w:t>
      </w:r>
      <w:r>
        <w:rPr>
          <w:rFonts w:hint="eastAsia" w:ascii="宋体" w:hAnsi="宋体"/>
          <w:color w:val="auto"/>
          <w:highlight w:val="none"/>
          <w:lang w:eastAsia="zh-CN"/>
        </w:rPr>
        <w:t>响应文件</w:t>
      </w:r>
      <w:r>
        <w:rPr>
          <w:rFonts w:hint="eastAsia" w:ascii="宋体" w:hAnsi="宋体"/>
          <w:color w:val="auto"/>
          <w:highlight w:val="none"/>
        </w:rPr>
        <w:t>一直对我们具有约束力，并可随时被接受中选。</w:t>
      </w:r>
    </w:p>
    <w:p>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w:t>
      </w:r>
      <w:r>
        <w:rPr>
          <w:rFonts w:hint="eastAsia" w:ascii="宋体" w:hAnsi="宋体"/>
          <w:color w:val="auto"/>
          <w:highlight w:val="none"/>
          <w:lang w:eastAsia="zh-CN"/>
        </w:rPr>
        <w:t>我司</w:t>
      </w:r>
      <w:r>
        <w:rPr>
          <w:rFonts w:hint="eastAsia" w:ascii="宋体" w:hAnsi="宋体" w:cs="宋体"/>
          <w:color w:val="auto"/>
          <w:kern w:val="0"/>
          <w:highlight w:val="none"/>
        </w:rPr>
        <w:t>符合“合同条款”规定，</w:t>
      </w:r>
      <w:r>
        <w:rPr>
          <w:rFonts w:hint="eastAsia" w:ascii="宋体" w:hAnsi="宋体" w:cs="宋体"/>
          <w:color w:val="auto"/>
          <w:kern w:val="0"/>
          <w:highlight w:val="none"/>
          <w:lang w:eastAsia="zh-CN"/>
        </w:rPr>
        <w:t>响应文件未</w:t>
      </w:r>
      <w:r>
        <w:rPr>
          <w:rFonts w:hint="eastAsia" w:ascii="宋体" w:hAnsi="宋体" w:cs="宋体"/>
          <w:color w:val="auto"/>
          <w:kern w:val="0"/>
          <w:highlight w:val="none"/>
        </w:rPr>
        <w:t>附有比选人不能接受的条件。</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如果我们中选，我们将及时签订</w:t>
      </w:r>
      <w:r>
        <w:rPr>
          <w:rFonts w:hint="eastAsia" w:ascii="宋体" w:hAnsi="宋体"/>
          <w:color w:val="auto"/>
          <w:highlight w:val="none"/>
          <w:u w:val="single"/>
          <w:lang w:eastAsia="zh-CN"/>
        </w:rPr>
        <w:t>重咨集团2025年办公家具类采购</w:t>
      </w:r>
      <w:r>
        <w:rPr>
          <w:rFonts w:hint="eastAsia" w:ascii="宋体" w:hAnsi="宋体"/>
          <w:color w:val="auto"/>
          <w:highlight w:val="none"/>
        </w:rPr>
        <w:t>合同。</w:t>
      </w:r>
    </w:p>
    <w:p>
      <w:pPr>
        <w:snapToGrid w:val="0"/>
        <w:spacing w:line="400" w:lineRule="exact"/>
        <w:ind w:firstLine="420" w:firstLineChars="200"/>
        <w:rPr>
          <w:rFonts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.在制定和签署一份正式协议书之前，本</w:t>
      </w:r>
      <w:r>
        <w:rPr>
          <w:rFonts w:hint="eastAsia" w:ascii="宋体" w:hAnsi="宋体"/>
          <w:color w:val="auto"/>
          <w:highlight w:val="none"/>
          <w:lang w:eastAsia="zh-CN"/>
        </w:rPr>
        <w:t>响应文件</w:t>
      </w:r>
      <w:r>
        <w:rPr>
          <w:rFonts w:hint="eastAsia" w:ascii="宋体" w:hAnsi="宋体"/>
          <w:color w:val="auto"/>
          <w:highlight w:val="none"/>
        </w:rPr>
        <w:t>连同你方的书面</w:t>
      </w:r>
      <w:r>
        <w:rPr>
          <w:rFonts w:hint="eastAsia" w:ascii="宋体" w:hAnsi="宋体"/>
          <w:color w:val="auto"/>
          <w:highlight w:val="none"/>
          <w:lang w:eastAsia="zh-CN"/>
        </w:rPr>
        <w:t>中选通知书</w:t>
      </w:r>
      <w:r>
        <w:rPr>
          <w:rFonts w:hint="eastAsia" w:ascii="宋体" w:hAnsi="宋体"/>
          <w:color w:val="auto"/>
          <w:highlight w:val="none"/>
        </w:rPr>
        <w:t>，构成在我们双方之间有约束力的合同。</w:t>
      </w:r>
    </w:p>
    <w:p>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auto"/>
          <w:highlight w:val="none"/>
        </w:rPr>
      </w:pPr>
    </w:p>
    <w:p>
      <w:pPr>
        <w:tabs>
          <w:tab w:val="left" w:pos="8300"/>
        </w:tabs>
        <w:autoSpaceDE w:val="0"/>
        <w:autoSpaceDN w:val="0"/>
        <w:adjustRightInd w:val="0"/>
        <w:snapToGrid w:val="0"/>
        <w:spacing w:line="520" w:lineRule="exact"/>
        <w:ind w:right="-20" w:firstLine="3570" w:firstLineChars="17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比选申请人：（盖单位公章）         </w:t>
      </w:r>
    </w:p>
    <w:p>
      <w:pPr>
        <w:tabs>
          <w:tab w:val="left" w:pos="8300"/>
        </w:tabs>
        <w:autoSpaceDE w:val="0"/>
        <w:autoSpaceDN w:val="0"/>
        <w:adjustRightInd w:val="0"/>
        <w:snapToGrid w:val="0"/>
        <w:spacing w:line="520" w:lineRule="exact"/>
        <w:ind w:right="-20" w:firstLine="3150" w:firstLineChars="15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法定代表人或授权代表签字：（签名或盖章）  </w:t>
      </w:r>
    </w:p>
    <w:p>
      <w:pPr>
        <w:spacing w:line="520" w:lineRule="exact"/>
        <w:ind w:firstLine="5670" w:firstLineChars="2700"/>
        <w:rPr>
          <w:rFonts w:ascii="宋体" w:hAnsi="宋体" w:cs="MingLiU"/>
          <w:snapToGrid w:val="0"/>
          <w:color w:val="auto"/>
          <w:highlight w:val="none"/>
          <w:u w:val="none"/>
        </w:rPr>
      </w:pPr>
      <w:r>
        <w:rPr>
          <w:rFonts w:hint="eastAsia" w:ascii="宋体" w:hAnsi="宋体" w:cs="MingLiU"/>
          <w:snapToGrid w:val="0"/>
          <w:color w:val="auto"/>
          <w:highlight w:val="none"/>
          <w:u w:val="none"/>
        </w:rPr>
        <w:t xml:space="preserve">     年   月   日</w:t>
      </w:r>
    </w:p>
    <w:p>
      <w:pPr>
        <w:spacing w:line="360" w:lineRule="auto"/>
        <w:rPr>
          <w:rFonts w:ascii="华文细黑" w:hAnsi="华文细黑" w:eastAsia="华文细黑" w:cs="华文细黑"/>
          <w:color w:val="auto"/>
          <w:sz w:val="24"/>
          <w:highlight w:val="none"/>
        </w:rPr>
      </w:pPr>
    </w:p>
    <w:p>
      <w:pPr>
        <w:pStyle w:val="7"/>
        <w:spacing w:line="360" w:lineRule="auto"/>
        <w:jc w:val="center"/>
        <w:rPr>
          <w:rFonts w:ascii="宋体" w:hAnsi="宋体" w:cs="宋体"/>
          <w:b w:val="0"/>
          <w:bCs w:val="0"/>
          <w:color w:val="auto"/>
          <w:highlight w:val="none"/>
        </w:rPr>
      </w:pPr>
    </w:p>
    <w:bookmarkEnd w:id="88"/>
    <w:bookmarkEnd w:id="89"/>
    <w:bookmarkEnd w:id="90"/>
    <w:p>
      <w:pPr>
        <w:spacing w:line="360" w:lineRule="auto"/>
        <w:rPr>
          <w:rFonts w:ascii="宋体"/>
          <w:color w:val="auto"/>
          <w:highlight w:val="none"/>
        </w:rPr>
      </w:pPr>
    </w:p>
    <w:p>
      <w:pPr>
        <w:pStyle w:val="3"/>
        <w:rPr>
          <w:color w:val="auto"/>
          <w:highlight w:val="none"/>
        </w:rPr>
      </w:pPr>
    </w:p>
    <w:p>
      <w:pPr>
        <w:spacing w:line="360" w:lineRule="auto"/>
        <w:ind w:firstLine="472" w:firstLineChars="224"/>
        <w:jc w:val="center"/>
        <w:outlineLvl w:val="1"/>
        <w:rPr>
          <w:rFonts w:ascii="宋体" w:hAnsi="宋体" w:cs="宋体"/>
          <w:b/>
          <w:bCs/>
          <w:color w:val="auto"/>
          <w:highlight w:val="none"/>
        </w:rPr>
        <w:sectPr>
          <w:pgSz w:w="11906" w:h="16838"/>
          <w:pgMar w:top="1276" w:right="1162" w:bottom="1135" w:left="1134" w:header="851" w:footer="992" w:gutter="0"/>
          <w:pgNumType w:fmt="decimal"/>
          <w:cols w:space="720" w:num="1"/>
          <w:titlePg/>
          <w:docGrid w:type="lines" w:linePitch="312" w:charSpace="0"/>
        </w:sectPr>
      </w:pPr>
      <w:bookmarkStart w:id="91" w:name="_Toc14571"/>
      <w:bookmarkStart w:id="92" w:name="_Toc13388"/>
    </w:p>
    <w:p>
      <w:pPr>
        <w:adjustRightInd w:val="0"/>
        <w:snapToGrid w:val="0"/>
        <w:spacing w:line="360" w:lineRule="auto"/>
        <w:jc w:val="center"/>
        <w:outlineLvl w:val="1"/>
        <w:rPr>
          <w:rFonts w:hint="eastAsia" w:ascii="宋体" w:hAnsi="宋体" w:cs="宋体"/>
          <w:b/>
          <w:bCs/>
          <w:color w:val="auto"/>
          <w:spacing w:val="8"/>
          <w:sz w:val="28"/>
          <w:szCs w:val="28"/>
          <w:highlight w:val="none"/>
          <w:lang w:eastAsia="zh-CN"/>
        </w:rPr>
      </w:pPr>
      <w:bookmarkStart w:id="93" w:name="_Toc25062"/>
      <w:r>
        <w:rPr>
          <w:rFonts w:hint="eastAsia" w:ascii="宋体" w:hAnsi="宋体" w:cs="宋体"/>
          <w:b/>
          <w:bCs/>
          <w:color w:val="auto"/>
          <w:spacing w:val="8"/>
          <w:sz w:val="28"/>
          <w:szCs w:val="28"/>
          <w:highlight w:val="none"/>
          <w:lang w:val="en-US" w:eastAsia="zh-CN"/>
        </w:rPr>
        <w:t>比选响应函附录</w:t>
      </w:r>
    </w:p>
    <w:tbl>
      <w:tblPr>
        <w:tblStyle w:val="11"/>
        <w:tblW w:w="4993" w:type="pct"/>
        <w:tblInd w:w="0" w:type="dxa"/>
        <w:tblLayout w:type="autofit"/>
        <w:tblCellMar>
          <w:top w:w="0" w:type="dxa"/>
          <w:left w:w="108" w:type="dxa"/>
          <w:bottom w:w="0" w:type="dxa"/>
          <w:right w:w="108" w:type="dxa"/>
        </w:tblCellMar>
      </w:tblPr>
      <w:tblGrid>
        <w:gridCol w:w="1749"/>
        <w:gridCol w:w="2159"/>
        <w:gridCol w:w="1407"/>
        <w:gridCol w:w="2226"/>
        <w:gridCol w:w="1644"/>
        <w:gridCol w:w="2062"/>
        <w:gridCol w:w="3375"/>
      </w:tblGrid>
      <w:tr>
        <w:tblPrEx>
          <w:tblCellMar>
            <w:top w:w="0" w:type="dxa"/>
            <w:left w:w="108" w:type="dxa"/>
            <w:bottom w:w="0" w:type="dxa"/>
            <w:right w:w="108" w:type="dxa"/>
          </w:tblCellMar>
        </w:tblPrEx>
        <w:trPr>
          <w:trHeight w:val="127"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家具名称</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规格</w:t>
            </w:r>
            <w:r>
              <w:rPr>
                <w:rFonts w:hint="eastAsia" w:ascii="宋体" w:hAnsi="宋体" w:cs="宋体"/>
                <w:b/>
                <w:bCs/>
                <w:color w:val="000000" w:themeColor="text1"/>
                <w:highlight w:val="none"/>
                <w:lang w:val="en-US" w:eastAsia="zh-CN"/>
                <w14:textFill>
                  <w14:solidFill>
                    <w14:schemeClr w14:val="tx1"/>
                  </w14:solidFill>
                </w14:textFill>
              </w:rPr>
              <w:t>/尺寸</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单价限价（元）</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单价报价（元）</w:t>
            </w:r>
          </w:p>
        </w:tc>
        <w:tc>
          <w:tcPr>
            <w:tcW w:w="562"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预估数量（最高采购数量）</w:t>
            </w:r>
          </w:p>
        </w:tc>
        <w:tc>
          <w:tcPr>
            <w:tcW w:w="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小计（元）</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样图（彩色打印、清晰）</w:t>
            </w:r>
          </w:p>
        </w:tc>
      </w:tr>
      <w:tr>
        <w:tblPrEx>
          <w:tblCellMar>
            <w:top w:w="0" w:type="dxa"/>
            <w:left w:w="108" w:type="dxa"/>
            <w:bottom w:w="0" w:type="dxa"/>
            <w:right w:w="108" w:type="dxa"/>
          </w:tblCellMar>
        </w:tblPrEx>
        <w:trPr>
          <w:trHeight w:val="127"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bookmarkStart w:id="94" w:name="OLE_LINK19" w:colFirst="0" w:colLast="5"/>
            <w:r>
              <w:rPr>
                <w:rFonts w:hint="default" w:ascii="Calibri" w:hAnsi="Calibri" w:eastAsia="宋体" w:cs="Calibri"/>
                <w:i w:val="0"/>
                <w:iCs w:val="0"/>
                <w:color w:val="000000"/>
                <w:kern w:val="0"/>
                <w:sz w:val="20"/>
                <w:szCs w:val="20"/>
                <w:highlight w:val="none"/>
                <w:u w:val="none"/>
                <w:lang w:val="en-US" w:eastAsia="zh-CN" w:bidi="ar"/>
              </w:rPr>
              <w:t>会议桌（张）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eastAsia="宋体" w:cs="宋体"/>
                <w:color w:val="000000" w:themeColor="text1"/>
                <w:highlight w:val="none"/>
                <w:lang w:val="en-US" w:eastAsia="zh-CN"/>
                <w14:textFill>
                  <w14:solidFill>
                    <w14:schemeClr w14:val="tx1"/>
                  </w14:solidFill>
                </w14:textFill>
              </w:rPr>
            </w:pPr>
            <w:bookmarkStart w:id="95" w:name="OLE_LINK24"/>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bookmarkEnd w:id="95"/>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430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150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94"/>
      <w:tr>
        <w:tblPrEx>
          <w:tblCellMar>
            <w:top w:w="0" w:type="dxa"/>
            <w:left w:w="108" w:type="dxa"/>
            <w:bottom w:w="0" w:type="dxa"/>
            <w:right w:w="108" w:type="dxa"/>
          </w:tblCellMar>
        </w:tblPrEx>
        <w:trPr>
          <w:trHeight w:val="226"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会议桌套（张）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280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150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38"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会议椅（把）</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200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300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会议椅套（个）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70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300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会议室主席台桌子（张）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550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主席台桌套（张）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280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24"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bookmarkStart w:id="96" w:name="OLE_LINK20" w:colFirst="0" w:colLast="5"/>
            <w:r>
              <w:rPr>
                <w:rFonts w:hint="default" w:ascii="Calibri" w:hAnsi="Calibri" w:eastAsia="宋体" w:cs="Calibri"/>
                <w:i w:val="0"/>
                <w:iCs w:val="0"/>
                <w:color w:val="000000"/>
                <w:kern w:val="0"/>
                <w:sz w:val="20"/>
                <w:szCs w:val="20"/>
                <w:highlight w:val="none"/>
                <w:u w:val="none"/>
                <w:lang w:val="en-US" w:eastAsia="zh-CN" w:bidi="ar"/>
              </w:rPr>
              <w:t>主席台椅子（把）</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1250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96"/>
      <w:tr>
        <w:tblPrEx>
          <w:tblCellMar>
            <w:top w:w="0" w:type="dxa"/>
            <w:left w:w="108" w:type="dxa"/>
            <w:bottom w:w="0" w:type="dxa"/>
            <w:right w:w="108" w:type="dxa"/>
          </w:tblCellMar>
        </w:tblPrEx>
        <w:trPr>
          <w:trHeight w:val="9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餐桌（张）</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1100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25</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112"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职员办公桌（套）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1350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20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职员办公椅（把)</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800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20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138"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中层办公桌（套）</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3300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201"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中层办公椅（把）</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1250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15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themeColor="text1"/>
                <w:highlight w:val="none"/>
                <w:lang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铁皮柜（个）</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900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10</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90" w:hRule="atLeast"/>
        </w:trPr>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000000" w:themeColor="text1"/>
                <w:highlight w:val="none"/>
                <w:lang w:val="en-US" w:eastAsia="zh-CN"/>
                <w14:textFill>
                  <w14:solidFill>
                    <w14:schemeClr w14:val="tx1"/>
                  </w14:solidFill>
                </w14:textFill>
              </w:rPr>
            </w:pPr>
            <w:bookmarkStart w:id="97" w:name="OLE_LINK21" w:colFirst="0" w:colLast="5"/>
            <w:r>
              <w:rPr>
                <w:rFonts w:hint="default" w:ascii="Calibri" w:hAnsi="Calibri" w:eastAsia="宋体" w:cs="Calibri"/>
                <w:i w:val="0"/>
                <w:iCs w:val="0"/>
                <w:color w:val="000000"/>
                <w:kern w:val="0"/>
                <w:sz w:val="20"/>
                <w:szCs w:val="20"/>
                <w:highlight w:val="none"/>
                <w:u w:val="none"/>
                <w:lang w:val="en-US" w:eastAsia="zh-CN" w:bidi="ar"/>
              </w:rPr>
              <w:t>三人沙发</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是否满足《家具采购清单》要求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3200</w:t>
            </w:r>
          </w:p>
        </w:tc>
        <w:tc>
          <w:tcPr>
            <w:tcW w:w="76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ascii="宋体" w:hAnsi="宋体" w:cs="宋体"/>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644"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cs="宋体"/>
                <w:i/>
                <w:iCs/>
                <w:color w:val="000000" w:themeColor="text1"/>
                <w:highlight w:val="none"/>
                <w14:textFill>
                  <w14:solidFill>
                    <w14:schemeClr w14:val="tx1"/>
                  </w14:solidFill>
                </w14:textFill>
              </w:rPr>
            </w:pPr>
            <w:r>
              <w:rPr>
                <w:rFonts w:hint="default" w:ascii="Calibri" w:hAnsi="Calibri" w:eastAsia="宋体" w:cs="Calibri"/>
                <w:i w:val="0"/>
                <w:iCs w:val="0"/>
                <w:color w:val="000000"/>
                <w:kern w:val="0"/>
                <w:sz w:val="20"/>
                <w:szCs w:val="20"/>
                <w:highlight w:val="none"/>
                <w:u w:val="none"/>
                <w:lang w:val="en-US" w:eastAsia="zh-CN" w:bidi="ar"/>
              </w:rPr>
              <w:t>5</w:t>
            </w:r>
          </w:p>
        </w:tc>
        <w:tc>
          <w:tcPr>
            <w:tcW w:w="2062"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c>
          <w:tcPr>
            <w:tcW w:w="1154"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p>
        </w:tc>
      </w:tr>
      <w:bookmarkEnd w:id="97"/>
      <w:tr>
        <w:tblPrEx>
          <w:tblCellMar>
            <w:top w:w="0" w:type="dxa"/>
            <w:left w:w="108" w:type="dxa"/>
            <w:bottom w:w="0" w:type="dxa"/>
            <w:right w:w="108" w:type="dxa"/>
          </w:tblCellMar>
        </w:tblPrEx>
        <w:trPr>
          <w:trHeight w:val="97" w:hRule="atLeast"/>
        </w:trPr>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宋体" w:hAnsi="宋体" w:cs="宋体"/>
                <w:color w:val="000000" w:themeColor="text1"/>
                <w:sz w:val="18"/>
                <w:szCs w:val="18"/>
                <w:highlight w:val="none"/>
                <w:lang w:val="en-US" w:eastAsia="zh-CN"/>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总报价（元）</w:t>
            </w:r>
          </w:p>
        </w:tc>
        <w:tc>
          <w:tcPr>
            <w:tcW w:w="366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cs="宋体"/>
                <w:i/>
                <w:iCs/>
                <w:color w:val="000000" w:themeColor="text1"/>
                <w:highlight w:val="none"/>
                <w14:textFill>
                  <w14:solidFill>
                    <w14:schemeClr w14:val="tx1"/>
                  </w14:solidFill>
                </w14:textFill>
              </w:rPr>
            </w:pPr>
            <w:r>
              <w:rPr>
                <w:rFonts w:hint="eastAsia" w:ascii="宋体" w:hAnsi="宋体" w:cs="宋体"/>
                <w:i/>
                <w:iCs/>
                <w:color w:val="000000" w:themeColor="text1"/>
                <w:highlight w:val="none"/>
                <w14:textFill>
                  <w14:solidFill>
                    <w14:schemeClr w14:val="tx1"/>
                  </w14:solidFill>
                </w14:textFill>
              </w:rPr>
              <w:t>比选申请人填写</w:t>
            </w:r>
          </w:p>
        </w:tc>
      </w:tr>
    </w:tbl>
    <w:p>
      <w:pPr>
        <w:rPr>
          <w:rFonts w:hint="eastAsia" w:ascii="宋体" w:hAnsi="宋体" w:cs="宋体"/>
          <w:b/>
          <w:bCs/>
          <w:color w:val="auto"/>
          <w:spacing w:val="8"/>
          <w:sz w:val="28"/>
          <w:szCs w:val="28"/>
          <w:highlight w:val="none"/>
          <w:lang w:eastAsia="zh-CN"/>
        </w:rPr>
        <w:sectPr>
          <w:pgSz w:w="16838" w:h="11906" w:orient="landscape"/>
          <w:pgMar w:top="1134" w:right="1276" w:bottom="1162" w:left="1135" w:header="851" w:footer="992" w:gutter="0"/>
          <w:pgNumType w:fmt="decimal"/>
          <w:cols w:space="720" w:num="1"/>
          <w:titlePg/>
          <w:docGrid w:type="lines" w:linePitch="312" w:charSpace="0"/>
        </w:sectPr>
      </w:pPr>
    </w:p>
    <w:p>
      <w:pPr>
        <w:pStyle w:val="8"/>
        <w:rPr>
          <w:rFonts w:hint="eastAsia"/>
          <w:highlight w:val="none"/>
          <w:lang w:eastAsia="zh-CN"/>
        </w:rPr>
      </w:pPr>
    </w:p>
    <w:p>
      <w:pPr>
        <w:adjustRightInd w:val="0"/>
        <w:snapToGrid w:val="0"/>
        <w:spacing w:line="360" w:lineRule="auto"/>
        <w:jc w:val="center"/>
        <w:outlineLvl w:val="1"/>
        <w:rPr>
          <w:rFonts w:ascii="宋体" w:hAnsi="宋体" w:cs="宋体"/>
          <w:b/>
          <w:bCs/>
          <w:color w:val="auto"/>
          <w:spacing w:val="8"/>
          <w:sz w:val="28"/>
          <w:szCs w:val="28"/>
          <w:highlight w:val="none"/>
        </w:rPr>
      </w:pPr>
      <w:r>
        <w:rPr>
          <w:rFonts w:hint="eastAsia" w:ascii="宋体" w:hAnsi="宋体" w:cs="宋体"/>
          <w:b/>
          <w:bCs/>
          <w:color w:val="auto"/>
          <w:spacing w:val="8"/>
          <w:sz w:val="28"/>
          <w:szCs w:val="28"/>
          <w:highlight w:val="none"/>
          <w:lang w:eastAsia="zh-CN"/>
        </w:rPr>
        <w:t>二、</w:t>
      </w:r>
      <w:r>
        <w:rPr>
          <w:rFonts w:hint="eastAsia" w:ascii="宋体" w:hAnsi="宋体" w:cs="宋体"/>
          <w:b/>
          <w:bCs/>
          <w:color w:val="auto"/>
          <w:spacing w:val="8"/>
          <w:sz w:val="28"/>
          <w:szCs w:val="28"/>
          <w:highlight w:val="none"/>
        </w:rPr>
        <w:t>法定代表人授权书委托书及法定代表人身份证明</w:t>
      </w:r>
      <w:bookmarkEnd w:id="93"/>
    </w:p>
    <w:p>
      <w:pPr>
        <w:adjustRightInd w:val="0"/>
        <w:snapToGrid w:val="0"/>
        <w:spacing w:line="360" w:lineRule="auto"/>
        <w:jc w:val="center"/>
        <w:outlineLvl w:val="1"/>
        <w:rPr>
          <w:rFonts w:ascii="宋体" w:hAnsi="宋体" w:cs="宋体"/>
          <w:b/>
          <w:bCs/>
          <w:color w:val="auto"/>
          <w:spacing w:val="8"/>
          <w:sz w:val="28"/>
          <w:szCs w:val="28"/>
          <w:highlight w:val="none"/>
        </w:rPr>
      </w:pPr>
      <w:bookmarkStart w:id="98" w:name="_Toc30901"/>
      <w:r>
        <w:rPr>
          <w:rFonts w:hint="eastAsia" w:ascii="宋体" w:hAnsi="宋体" w:cs="宋体"/>
          <w:b/>
          <w:bCs/>
          <w:color w:val="auto"/>
          <w:spacing w:val="8"/>
          <w:sz w:val="28"/>
          <w:szCs w:val="28"/>
          <w:highlight w:val="none"/>
        </w:rPr>
        <w:t>（</w:t>
      </w:r>
      <w:r>
        <w:rPr>
          <w:rFonts w:hint="eastAsia" w:ascii="宋体" w:hAnsi="宋体" w:cs="宋体"/>
          <w:b/>
          <w:bCs/>
          <w:color w:val="auto"/>
          <w:spacing w:val="8"/>
          <w:sz w:val="28"/>
          <w:szCs w:val="28"/>
          <w:highlight w:val="none"/>
          <w:lang w:eastAsia="zh-CN"/>
        </w:rPr>
        <w:t>一</w:t>
      </w:r>
      <w:r>
        <w:rPr>
          <w:rFonts w:hint="eastAsia" w:ascii="宋体" w:hAnsi="宋体" w:cs="宋体"/>
          <w:b/>
          <w:bCs/>
          <w:color w:val="auto"/>
          <w:spacing w:val="8"/>
          <w:sz w:val="28"/>
          <w:szCs w:val="28"/>
          <w:highlight w:val="none"/>
        </w:rPr>
        <w:t>）法定代表人授权委托书</w:t>
      </w:r>
      <w:bookmarkEnd w:id="91"/>
      <w:bookmarkEnd w:id="92"/>
      <w:bookmarkEnd w:id="98"/>
    </w:p>
    <w:bookmarkEnd w:id="87"/>
    <w:p>
      <w:pPr>
        <w:pStyle w:val="15"/>
        <w:spacing w:line="360" w:lineRule="auto"/>
        <w:ind w:left="0" w:leftChars="0" w:firstLine="470" w:firstLineChars="224"/>
        <w:rPr>
          <w:rFonts w:ascii="宋体"/>
          <w:color w:val="auto"/>
          <w:highlight w:val="none"/>
        </w:rPr>
      </w:pPr>
      <w:r>
        <w:rPr>
          <w:rFonts w:hint="eastAsia" w:ascii="宋体" w:hAnsi="宋体" w:cs="宋体"/>
          <w:color w:val="auto"/>
          <w:highlight w:val="none"/>
        </w:rPr>
        <w:t>本授权委托书声明：我</w:t>
      </w:r>
      <w:r>
        <w:rPr>
          <w:rFonts w:hint="eastAsia" w:ascii="宋体" w:hAnsi="宋体" w:cs="宋体"/>
          <w:color w:val="auto"/>
          <w:highlight w:val="none"/>
          <w:u w:val="single"/>
        </w:rPr>
        <w:t xml:space="preserve">     （姓名）</w:t>
      </w:r>
      <w:r>
        <w:rPr>
          <w:rFonts w:hint="eastAsia" w:ascii="宋体" w:hAnsi="宋体" w:cs="宋体"/>
          <w:color w:val="auto"/>
          <w:highlight w:val="none"/>
        </w:rPr>
        <w:t>系</w:t>
      </w:r>
      <w:r>
        <w:rPr>
          <w:rFonts w:hint="eastAsia" w:ascii="宋体" w:hAnsi="宋体" w:cs="宋体"/>
          <w:color w:val="auto"/>
          <w:highlight w:val="none"/>
          <w:u w:val="single"/>
        </w:rPr>
        <w:t xml:space="preserve">       （比选申请人名称）</w:t>
      </w:r>
      <w:r>
        <w:rPr>
          <w:rFonts w:hint="eastAsia" w:ascii="宋体" w:hAnsi="宋体" w:cs="宋体"/>
          <w:color w:val="auto"/>
          <w:highlight w:val="none"/>
        </w:rPr>
        <w:t>的法定代表人，现授权委托</w:t>
      </w:r>
      <w:r>
        <w:rPr>
          <w:rFonts w:hint="eastAsia" w:ascii="宋体" w:hAnsi="宋体" w:cs="宋体"/>
          <w:color w:val="auto"/>
          <w:highlight w:val="none"/>
          <w:u w:val="single"/>
        </w:rPr>
        <w:t xml:space="preserve">  （比选申请人名称）</w:t>
      </w:r>
      <w:r>
        <w:rPr>
          <w:rFonts w:hint="eastAsia" w:ascii="宋体" w:hAnsi="宋体" w:cs="宋体"/>
          <w:color w:val="auto"/>
          <w:highlight w:val="none"/>
        </w:rPr>
        <w:t>的</w:t>
      </w:r>
      <w:r>
        <w:rPr>
          <w:rFonts w:hint="eastAsia" w:ascii="宋体" w:hAnsi="宋体" w:cs="宋体"/>
          <w:color w:val="auto"/>
          <w:highlight w:val="none"/>
          <w:u w:val="single"/>
        </w:rPr>
        <w:t xml:space="preserve">    （姓名）</w:t>
      </w:r>
      <w:r>
        <w:rPr>
          <w:rFonts w:hint="eastAsia" w:ascii="宋体" w:hAnsi="宋体" w:cs="宋体"/>
          <w:color w:val="auto"/>
          <w:highlight w:val="none"/>
        </w:rPr>
        <w:t>为我公司唯一代理人，以本公司的名义参加</w:t>
      </w:r>
      <w:r>
        <w:rPr>
          <w:rFonts w:hint="eastAsia" w:ascii="宋体" w:hAnsi="宋体" w:cs="宋体"/>
          <w:color w:val="auto"/>
          <w:highlight w:val="none"/>
          <w:u w:val="single"/>
        </w:rPr>
        <w:t xml:space="preserve">    （项目名称）</w:t>
      </w:r>
      <w:r>
        <w:rPr>
          <w:rFonts w:hint="eastAsia" w:ascii="宋体" w:hAnsi="宋体" w:cs="宋体"/>
          <w:color w:val="auto"/>
          <w:highlight w:val="none"/>
        </w:rPr>
        <w:t>的比选活动。代理人在竞争性比选、合同签订过程中所签署的一切文件和处理与之有关的一切事务，我均予以承认。</w:t>
      </w:r>
    </w:p>
    <w:p>
      <w:pPr>
        <w:pStyle w:val="15"/>
        <w:spacing w:line="360" w:lineRule="auto"/>
        <w:ind w:left="0" w:leftChars="0" w:firstLine="470" w:firstLineChars="224"/>
        <w:rPr>
          <w:rFonts w:hint="default" w:ascii="宋体" w:hAnsi="宋体" w:eastAsia="宋体" w:cs="宋体"/>
          <w:color w:val="auto"/>
          <w:highlight w:val="none"/>
          <w:u w:val="none"/>
          <w:lang w:val="en-US" w:eastAsia="zh-CN"/>
        </w:rPr>
      </w:pPr>
      <w:r>
        <w:rPr>
          <w:rFonts w:hint="eastAsia" w:ascii="宋体" w:hAnsi="宋体" w:cs="宋体"/>
          <w:color w:val="auto"/>
          <w:highlight w:val="none"/>
          <w:lang w:eastAsia="zh-CN"/>
        </w:rPr>
        <w:t>委托期限：</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lang w:val="en-US" w:eastAsia="zh-CN"/>
        </w:rPr>
        <w:t>。</w:t>
      </w:r>
    </w:p>
    <w:p>
      <w:pPr>
        <w:pStyle w:val="15"/>
        <w:spacing w:line="360" w:lineRule="auto"/>
        <w:ind w:left="0" w:leftChars="0" w:firstLine="470" w:firstLineChars="224"/>
        <w:rPr>
          <w:rFonts w:ascii="宋体"/>
          <w:color w:val="auto"/>
          <w:highlight w:val="none"/>
        </w:rPr>
      </w:pPr>
      <w:r>
        <w:rPr>
          <w:rFonts w:hint="eastAsia" w:ascii="宋体" w:hAnsi="宋体" w:cs="宋体"/>
          <w:color w:val="auto"/>
          <w:highlight w:val="none"/>
        </w:rPr>
        <w:t>代理人无转委权。</w:t>
      </w:r>
    </w:p>
    <w:p>
      <w:pPr>
        <w:rPr>
          <w:highlight w:val="none"/>
        </w:rPr>
      </w:pPr>
    </w:p>
    <w:p>
      <w:pPr>
        <w:tabs>
          <w:tab w:val="left" w:pos="5460"/>
        </w:tabs>
        <w:autoSpaceDE w:val="0"/>
        <w:autoSpaceDN w:val="0"/>
        <w:adjustRightInd w:val="0"/>
        <w:snapToGrid w:val="0"/>
        <w:spacing w:line="360" w:lineRule="auto"/>
        <w:ind w:firstLine="420" w:firstLineChars="200"/>
        <w:jc w:val="left"/>
        <w:rPr>
          <w:rFonts w:ascii="宋体"/>
          <w:color w:val="auto"/>
          <w:kern w:val="0"/>
          <w:highlight w:val="none"/>
        </w:rPr>
      </w:pPr>
      <w:r>
        <w:rPr>
          <w:rFonts w:hint="eastAsia" w:ascii="宋体" w:hAnsi="宋体" w:cs="宋体"/>
          <w:color w:val="auto"/>
          <w:kern w:val="0"/>
          <w:highlight w:val="none"/>
        </w:rPr>
        <w:t>比选申请人：</w:t>
      </w:r>
      <w:r>
        <w:rPr>
          <w:rFonts w:ascii="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pStyle w:val="2"/>
        <w:spacing w:line="360" w:lineRule="auto"/>
        <w:ind w:firstLine="470" w:firstLineChars="224"/>
        <w:rPr>
          <w:rFonts w:hint="default" w:ascii="宋体" w:hAnsi="宋体" w:eastAsia="宋体" w:cs="宋体"/>
          <w:color w:val="auto"/>
          <w:kern w:val="0"/>
          <w:sz w:val="21"/>
          <w:szCs w:val="21"/>
          <w:highlight w:val="none"/>
          <w:lang w:val="en-US" w:eastAsia="zh-CN" w:bidi="ar-SA"/>
        </w:rPr>
      </w:pPr>
      <w:r>
        <w:rPr>
          <w:rFonts w:hint="eastAsia"/>
          <w:color w:val="auto"/>
          <w:sz w:val="21"/>
          <w:szCs w:val="21"/>
          <w:highlight w:val="none"/>
          <w:lang w:eastAsia="zh-CN"/>
        </w:rPr>
        <w:t>法定代表人：</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eastAsia="宋体" w:cs="宋体"/>
          <w:color w:val="auto"/>
          <w:kern w:val="0"/>
          <w:sz w:val="21"/>
          <w:szCs w:val="21"/>
          <w:highlight w:val="none"/>
          <w:lang w:val="en-US" w:eastAsia="zh-CN" w:bidi="ar-SA"/>
        </w:rPr>
        <w:t>（签名或盖章）</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身份证号码：</w:t>
      </w:r>
      <w:r>
        <w:rPr>
          <w:rFonts w:ascii="宋体"/>
          <w:color w:val="auto"/>
          <w:kern w:val="0"/>
          <w:highlight w:val="none"/>
          <w:u w:val="single"/>
        </w:rPr>
        <w:tab/>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委托代理人：</w:t>
      </w:r>
      <w:r>
        <w:rPr>
          <w:rFonts w:ascii="宋体"/>
          <w:color w:val="auto"/>
          <w:kern w:val="0"/>
          <w:highlight w:val="none"/>
          <w:u w:val="single"/>
        </w:rPr>
        <w:tab/>
      </w:r>
      <w:r>
        <w:rPr>
          <w:rFonts w:hint="eastAsia" w:ascii="宋体"/>
          <w:color w:val="auto"/>
          <w:kern w:val="0"/>
          <w:highlight w:val="none"/>
          <w:u w:val="single"/>
          <w:lang w:val="en-US" w:eastAsia="zh-CN"/>
        </w:rPr>
        <w:t xml:space="preserve"> </w:t>
      </w:r>
      <w:r>
        <w:rPr>
          <w:rFonts w:hint="eastAsia" w:ascii="宋体" w:hAnsi="宋体" w:eastAsia="宋体" w:cs="宋体"/>
          <w:color w:val="auto"/>
          <w:kern w:val="0"/>
          <w:highlight w:val="none"/>
          <w:lang w:eastAsia="zh-CN"/>
        </w:rPr>
        <w:t>（签名）</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身份证号码：</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单位电话（座机）：</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委托代理人电话（手机）：</w:t>
      </w:r>
      <w:r>
        <w:rPr>
          <w:rFonts w:ascii="宋体"/>
          <w:color w:val="auto"/>
          <w:kern w:val="0"/>
          <w:highlight w:val="none"/>
          <w:u w:val="single"/>
        </w:rPr>
        <w:tab/>
      </w:r>
      <w:r>
        <w:rPr>
          <w:rFonts w:hint="eastAsia" w:ascii="宋体"/>
          <w:color w:val="auto"/>
          <w:kern w:val="0"/>
          <w:highlight w:val="none"/>
          <w:u w:val="single"/>
          <w:lang w:val="en-US" w:eastAsia="zh-CN"/>
        </w:rPr>
        <w:t xml:space="preserve"> </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附：法定代表人和委托代理人身份证明复印件（双面）</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rPr>
      </w:pP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pStyle w:val="54"/>
        <w:spacing w:beforeLines="0" w:afterLines="0" w:line="360" w:lineRule="auto"/>
        <w:ind w:right="480" w:firstLine="470" w:firstLineChars="224"/>
        <w:jc w:val="right"/>
        <w:rPr>
          <w:rFonts w:hint="eastAsia" w:ascii="宋体" w:hAnsi="宋体" w:eastAsia="宋体" w:cs="宋体"/>
          <w:color w:val="auto"/>
          <w:sz w:val="21"/>
          <w:szCs w:val="21"/>
          <w:highlight w:val="none"/>
        </w:rPr>
      </w:pP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注：1、法定代表人参与响应活动并签署文件的不需要授权委托书，只需要提供法定代表人身份证明；非法定代表人参加响应活动机签署文件的除提供法定代表人身份证外还须提供授权委托书。</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2、法定代表人身份证明及授权委托书原件装入响应文件一并递交。</w:t>
      </w:r>
    </w:p>
    <w:p>
      <w:pPr>
        <w:tabs>
          <w:tab w:val="left" w:pos="5460"/>
        </w:tabs>
        <w:autoSpaceDE w:val="0"/>
        <w:autoSpaceDN w:val="0"/>
        <w:adjustRightInd w:val="0"/>
        <w:snapToGrid w:val="0"/>
        <w:spacing w:line="360" w:lineRule="auto"/>
        <w:ind w:firstLine="420" w:firstLineChars="200"/>
        <w:jc w:val="left"/>
        <w:rPr>
          <w:rFonts w:ascii="宋体"/>
          <w:b/>
          <w:bCs/>
          <w:color w:val="auto"/>
          <w:highlight w:val="none"/>
        </w:rPr>
      </w:pPr>
      <w:r>
        <w:rPr>
          <w:rFonts w:hint="eastAsia" w:ascii="宋体" w:hAnsi="宋体" w:eastAsia="宋体" w:cs="宋体"/>
          <w:color w:val="auto"/>
          <w:kern w:val="0"/>
          <w:highlight w:val="none"/>
          <w:lang w:val="en-US" w:eastAsia="zh-CN"/>
        </w:rPr>
        <w:t>3、授权委托书需按上述格式填写完整，不可缺少内容。在此基础上增加内容的不影响其有效性。</w:t>
      </w:r>
    </w:p>
    <w:p>
      <w:pPr>
        <w:spacing w:line="360" w:lineRule="auto"/>
        <w:jc w:val="center"/>
        <w:outlineLvl w:val="1"/>
        <w:rPr>
          <w:rFonts w:ascii="宋体"/>
          <w:b/>
          <w:bCs/>
          <w:color w:val="auto"/>
          <w:highlight w:val="none"/>
        </w:rPr>
      </w:pPr>
      <w:r>
        <w:rPr>
          <w:rFonts w:ascii="宋体"/>
          <w:b/>
          <w:bCs/>
          <w:color w:val="auto"/>
          <w:highlight w:val="none"/>
        </w:rPr>
        <w:br w:type="page"/>
      </w:r>
      <w:bookmarkStart w:id="99" w:name="_Toc13788"/>
      <w:bookmarkStart w:id="100" w:name="_Toc11989"/>
      <w:bookmarkStart w:id="101" w:name="_Toc29713"/>
      <w:r>
        <w:rPr>
          <w:rFonts w:hint="eastAsia" w:ascii="宋体" w:hAnsi="宋体" w:eastAsia="宋体" w:cs="宋体"/>
          <w:b/>
          <w:bCs/>
          <w:color w:val="auto"/>
          <w:spacing w:val="8"/>
          <w:sz w:val="28"/>
          <w:szCs w:val="28"/>
          <w:highlight w:val="none"/>
          <w:lang w:eastAsia="zh-CN"/>
        </w:rPr>
        <w:t>（二）</w:t>
      </w:r>
      <w:r>
        <w:rPr>
          <w:rFonts w:hint="eastAsia" w:ascii="宋体" w:hAnsi="宋体" w:eastAsia="宋体" w:cs="宋体"/>
          <w:b/>
          <w:bCs/>
          <w:color w:val="auto"/>
          <w:spacing w:val="8"/>
          <w:sz w:val="28"/>
          <w:szCs w:val="28"/>
          <w:highlight w:val="none"/>
        </w:rPr>
        <w:t>法定</w:t>
      </w:r>
      <w:r>
        <w:rPr>
          <w:rFonts w:hint="eastAsia" w:ascii="宋体" w:hAnsi="宋体" w:cs="宋体"/>
          <w:b/>
          <w:bCs/>
          <w:color w:val="auto"/>
          <w:spacing w:val="8"/>
          <w:sz w:val="28"/>
          <w:szCs w:val="28"/>
          <w:highlight w:val="none"/>
        </w:rPr>
        <w:t>代表人身份证明</w:t>
      </w:r>
      <w:bookmarkEnd w:id="99"/>
      <w:bookmarkEnd w:id="100"/>
      <w:bookmarkEnd w:id="101"/>
    </w:p>
    <w:p>
      <w:pPr>
        <w:spacing w:line="360" w:lineRule="auto"/>
        <w:ind w:left="765"/>
        <w:rPr>
          <w:rFonts w:ascii="宋体"/>
          <w:color w:val="auto"/>
          <w:highlight w:val="none"/>
        </w:rPr>
      </w:pPr>
    </w:p>
    <w:p>
      <w:pPr>
        <w:tabs>
          <w:tab w:val="left" w:pos="556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比选申请人名称：</w:t>
      </w:r>
      <w:r>
        <w:rPr>
          <w:rFonts w:ascii="宋体"/>
          <w:color w:val="auto"/>
          <w:kern w:val="0"/>
          <w:highlight w:val="none"/>
          <w:u w:val="single"/>
        </w:rPr>
        <w:tab/>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单位性质：</w:t>
      </w:r>
      <w:r>
        <w:rPr>
          <w:rFonts w:ascii="宋体"/>
          <w:color w:val="auto"/>
          <w:kern w:val="0"/>
          <w:highlight w:val="none"/>
          <w:u w:val="single"/>
        </w:rPr>
        <w:tab/>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地址：</w:t>
      </w:r>
      <w:r>
        <w:rPr>
          <w:rFonts w:ascii="宋体"/>
          <w:color w:val="auto"/>
          <w:kern w:val="0"/>
          <w:highlight w:val="none"/>
          <w:u w:val="single"/>
        </w:rPr>
        <w:tab/>
      </w:r>
    </w:p>
    <w:p>
      <w:pPr>
        <w:tabs>
          <w:tab w:val="left" w:pos="2520"/>
          <w:tab w:val="left" w:pos="3836"/>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成立时间：</w:t>
      </w:r>
      <w:r>
        <w:rPr>
          <w:rFonts w:ascii="宋体"/>
          <w:color w:val="auto"/>
          <w:kern w:val="0"/>
          <w:highlight w:val="none"/>
          <w:u w:val="single"/>
        </w:rPr>
        <w:tab/>
      </w:r>
      <w:r>
        <w:rPr>
          <w:rFonts w:hint="eastAsia" w:ascii="宋体" w:hAnsi="宋体" w:cs="宋体"/>
          <w:color w:val="auto"/>
          <w:spacing w:val="-1"/>
          <w:kern w:val="0"/>
          <w:highlight w:val="none"/>
        </w:rPr>
        <w:t>年</w:t>
      </w:r>
      <w:r>
        <w:rPr>
          <w:rFonts w:ascii="宋体"/>
          <w:color w:val="auto"/>
          <w:kern w:val="0"/>
          <w:highlight w:val="none"/>
          <w:u w:val="single"/>
        </w:rPr>
        <w:tab/>
      </w:r>
      <w:r>
        <w:rPr>
          <w:rFonts w:hint="eastAsia" w:ascii="宋体" w:hAnsi="宋体" w:cs="宋体"/>
          <w:color w:val="auto"/>
          <w:spacing w:val="-1"/>
          <w:kern w:val="0"/>
          <w:highlight w:val="none"/>
        </w:rPr>
        <w:t>月</w:t>
      </w:r>
      <w:r>
        <w:rPr>
          <w:rFonts w:hint="eastAsia" w:ascii="宋体" w:hAnsi="宋体" w:cs="宋体"/>
          <w:color w:val="auto"/>
          <w:spacing w:val="-1"/>
          <w:kern w:val="0"/>
          <w:highlight w:val="none"/>
          <w:u w:val="single"/>
        </w:rPr>
        <w:t xml:space="preserve">       </w:t>
      </w:r>
      <w:r>
        <w:rPr>
          <w:rFonts w:hint="eastAsia" w:ascii="宋体" w:hAnsi="宋体" w:cs="宋体"/>
          <w:color w:val="auto"/>
          <w:kern w:val="0"/>
          <w:highlight w:val="none"/>
        </w:rPr>
        <w:t>日</w:t>
      </w:r>
    </w:p>
    <w:p>
      <w:pPr>
        <w:tabs>
          <w:tab w:val="left" w:pos="5475"/>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经营期限：</w:t>
      </w:r>
      <w:r>
        <w:rPr>
          <w:rFonts w:ascii="宋体"/>
          <w:color w:val="auto"/>
          <w:kern w:val="0"/>
          <w:highlight w:val="none"/>
          <w:u w:val="single"/>
        </w:rPr>
        <w:tab/>
      </w: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姓名：</w:t>
      </w:r>
      <w:r>
        <w:rPr>
          <w:rFonts w:ascii="宋体"/>
          <w:color w:val="auto"/>
          <w:kern w:val="0"/>
          <w:highlight w:val="none"/>
          <w:u w:val="single"/>
        </w:rPr>
        <w:tab/>
      </w:r>
      <w:r>
        <w:rPr>
          <w:rFonts w:hint="eastAsia" w:ascii="宋体" w:hAnsi="宋体" w:cs="宋体"/>
          <w:color w:val="auto"/>
          <w:kern w:val="0"/>
          <w:highlight w:val="none"/>
        </w:rPr>
        <w:t>性别</w:t>
      </w:r>
      <w:r>
        <w:rPr>
          <w:rFonts w:hint="eastAsia" w:ascii="宋体" w:hAnsi="宋体" w:cs="宋体"/>
          <w:color w:val="auto"/>
          <w:spacing w:val="-1"/>
          <w:kern w:val="0"/>
          <w:highlight w:val="none"/>
        </w:rPr>
        <w:t>：</w:t>
      </w:r>
      <w:r>
        <w:rPr>
          <w:rFonts w:ascii="宋体"/>
          <w:color w:val="auto"/>
          <w:kern w:val="0"/>
          <w:highlight w:val="none"/>
          <w:u w:val="single"/>
        </w:rPr>
        <w:tab/>
      </w:r>
      <w:r>
        <w:rPr>
          <w:rFonts w:hint="eastAsia" w:ascii="宋体" w:hAnsi="宋体" w:cs="宋体"/>
          <w:color w:val="auto"/>
          <w:spacing w:val="-1"/>
          <w:kern w:val="0"/>
          <w:highlight w:val="none"/>
        </w:rPr>
        <w:t>年</w:t>
      </w:r>
      <w:r>
        <w:rPr>
          <w:rFonts w:hint="eastAsia" w:ascii="宋体" w:hAnsi="宋体" w:cs="宋体"/>
          <w:color w:val="auto"/>
          <w:kern w:val="0"/>
          <w:highlight w:val="none"/>
        </w:rPr>
        <w:t>龄：</w:t>
      </w:r>
      <w:r>
        <w:rPr>
          <w:rFonts w:ascii="宋体"/>
          <w:color w:val="auto"/>
          <w:kern w:val="0"/>
          <w:highlight w:val="none"/>
          <w:u w:val="single"/>
        </w:rPr>
        <w:tab/>
      </w:r>
      <w:r>
        <w:rPr>
          <w:rFonts w:hint="eastAsia" w:ascii="宋体" w:hAnsi="宋体" w:cs="宋体"/>
          <w:color w:val="auto"/>
          <w:kern w:val="0"/>
          <w:highlight w:val="none"/>
        </w:rPr>
        <w:t>职务：</w:t>
      </w:r>
      <w:r>
        <w:rPr>
          <w:rFonts w:ascii="宋体"/>
          <w:color w:val="auto"/>
          <w:kern w:val="0"/>
          <w:highlight w:val="none"/>
          <w:u w:val="single"/>
        </w:rPr>
        <w:tab/>
      </w:r>
    </w:p>
    <w:p>
      <w:pPr>
        <w:tabs>
          <w:tab w:val="left" w:pos="3360"/>
        </w:tabs>
        <w:autoSpaceDE w:val="0"/>
        <w:autoSpaceDN w:val="0"/>
        <w:adjustRightInd w:val="0"/>
        <w:snapToGrid w:val="0"/>
        <w:spacing w:line="360" w:lineRule="auto"/>
        <w:ind w:firstLine="390" w:firstLineChars="186"/>
        <w:jc w:val="left"/>
        <w:rPr>
          <w:rFonts w:ascii="宋体"/>
          <w:color w:val="auto"/>
          <w:kern w:val="0"/>
          <w:highlight w:val="none"/>
        </w:rPr>
      </w:pPr>
      <w:r>
        <w:rPr>
          <w:rFonts w:hint="eastAsia" w:ascii="宋体" w:hAnsi="宋体" w:cs="宋体"/>
          <w:color w:val="auto"/>
          <w:kern w:val="0"/>
          <w:highlight w:val="none"/>
        </w:rPr>
        <w:t>系</w:t>
      </w:r>
      <w:r>
        <w:rPr>
          <w:rFonts w:ascii="宋体"/>
          <w:color w:val="auto"/>
          <w:kern w:val="0"/>
          <w:highlight w:val="none"/>
          <w:u w:val="single"/>
        </w:rPr>
        <w:tab/>
      </w:r>
      <w:r>
        <w:rPr>
          <w:rFonts w:hint="eastAsia" w:ascii="宋体" w:hAnsi="宋体" w:cs="宋体"/>
          <w:color w:val="auto"/>
          <w:kern w:val="0"/>
          <w:highlight w:val="none"/>
        </w:rPr>
        <w:t>（比选申请人名称）的法定代表人。</w:t>
      </w:r>
    </w:p>
    <w:p>
      <w:pPr>
        <w:autoSpaceDE w:val="0"/>
        <w:autoSpaceDN w:val="0"/>
        <w:adjustRightInd w:val="0"/>
        <w:snapToGrid w:val="0"/>
        <w:spacing w:line="360" w:lineRule="auto"/>
        <w:ind w:firstLine="810" w:firstLineChars="386"/>
        <w:jc w:val="left"/>
        <w:rPr>
          <w:rFonts w:hint="eastAsia" w:ascii="宋体" w:hAnsi="宋体" w:cs="宋体"/>
          <w:color w:val="auto"/>
          <w:kern w:val="0"/>
          <w:highlight w:val="none"/>
        </w:rPr>
      </w:pPr>
      <w:r>
        <w:rPr>
          <w:rFonts w:hint="eastAsia" w:ascii="宋体" w:hAnsi="宋体" w:cs="宋体"/>
          <w:color w:val="auto"/>
          <w:kern w:val="0"/>
          <w:highlight w:val="none"/>
        </w:rPr>
        <w:t>特此证明。</w:t>
      </w: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附：法定代表人身份证明复印件（双面）</w:t>
      </w:r>
    </w:p>
    <w:p>
      <w:pPr>
        <w:pStyle w:val="2"/>
        <w:rPr>
          <w:rFonts w:hint="eastAsia" w:ascii="宋体" w:hAnsi="宋体" w:cs="宋体"/>
          <w:color w:val="auto"/>
          <w:kern w:val="0"/>
          <w:highlight w:val="none"/>
        </w:rPr>
      </w:pPr>
    </w:p>
    <w:p>
      <w:pPr>
        <w:rPr>
          <w:rFonts w:hint="eastAsia" w:ascii="宋体" w:hAnsi="宋体" w:cs="宋体"/>
          <w:color w:val="auto"/>
          <w:kern w:val="0"/>
          <w:highlight w:val="none"/>
        </w:rPr>
      </w:pPr>
    </w:p>
    <w:p>
      <w:pPr>
        <w:pStyle w:val="2"/>
        <w:rPr>
          <w:rFonts w:hint="eastAsia" w:ascii="宋体" w:hAnsi="宋体" w:cs="宋体"/>
          <w:color w:val="auto"/>
          <w:kern w:val="0"/>
          <w:highlight w:val="none"/>
        </w:rPr>
      </w:pPr>
    </w:p>
    <w:p>
      <w:pPr>
        <w:rPr>
          <w:rFonts w:hint="eastAsia" w:ascii="宋体" w:hAnsi="宋体" w:cs="宋体"/>
          <w:color w:val="auto"/>
          <w:kern w:val="0"/>
          <w:highlight w:val="none"/>
        </w:rPr>
      </w:pPr>
    </w:p>
    <w:p>
      <w:pPr>
        <w:pStyle w:val="2"/>
        <w:rPr>
          <w:rFonts w:hint="eastAsia" w:ascii="宋体" w:hAnsi="宋体" w:cs="宋体"/>
          <w:color w:val="auto"/>
          <w:kern w:val="0"/>
          <w:highlight w:val="none"/>
        </w:rPr>
      </w:pPr>
    </w:p>
    <w:p>
      <w:pPr>
        <w:rPr>
          <w:rFonts w:hint="eastAsia" w:ascii="宋体" w:hAnsi="宋体" w:cs="宋体"/>
          <w:color w:val="auto"/>
          <w:kern w:val="0"/>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highlight w:val="none"/>
        </w:rPr>
      </w:pPr>
    </w:p>
    <w:p>
      <w:pPr>
        <w:rPr>
          <w:highlight w:val="none"/>
        </w:rPr>
      </w:pPr>
    </w:p>
    <w:p>
      <w:pPr>
        <w:autoSpaceDE w:val="0"/>
        <w:autoSpaceDN w:val="0"/>
        <w:adjustRightInd w:val="0"/>
        <w:snapToGrid w:val="0"/>
        <w:spacing w:line="360" w:lineRule="auto"/>
        <w:jc w:val="left"/>
        <w:rPr>
          <w:rFonts w:ascii="宋体"/>
          <w:color w:val="auto"/>
          <w:kern w:val="0"/>
          <w:highlight w:val="none"/>
        </w:rPr>
      </w:pPr>
    </w:p>
    <w:p>
      <w:pPr>
        <w:tabs>
          <w:tab w:val="left" w:pos="5460"/>
        </w:tabs>
        <w:autoSpaceDE w:val="0"/>
        <w:autoSpaceDN w:val="0"/>
        <w:adjustRightInd w:val="0"/>
        <w:snapToGrid w:val="0"/>
        <w:spacing w:line="360" w:lineRule="auto"/>
        <w:ind w:firstLine="2100"/>
        <w:jc w:val="right"/>
        <w:rPr>
          <w:rFonts w:ascii="宋体"/>
          <w:color w:val="auto"/>
          <w:kern w:val="0"/>
          <w:highlight w:val="none"/>
        </w:rPr>
      </w:pPr>
      <w:r>
        <w:rPr>
          <w:rFonts w:hint="eastAsia" w:ascii="宋体" w:hAnsi="宋体" w:cs="宋体"/>
          <w:color w:val="auto"/>
          <w:kern w:val="0"/>
          <w:highlight w:val="none"/>
        </w:rPr>
        <w:t>比选申请人：</w:t>
      </w:r>
      <w:r>
        <w:rPr>
          <w:rFonts w:ascii="宋体"/>
          <w:color w:val="auto"/>
          <w:kern w:val="0"/>
          <w:highlight w:val="none"/>
          <w:u w:val="single"/>
        </w:rPr>
        <w:tab/>
      </w:r>
      <w:r>
        <w:rPr>
          <w:rFonts w:hint="eastAsia" w:ascii="宋体" w:hAnsi="宋体" w:cs="宋体"/>
          <w:color w:val="auto"/>
          <w:spacing w:val="-1"/>
          <w:kern w:val="0"/>
          <w:highlight w:val="none"/>
        </w:rPr>
        <w:t>（</w:t>
      </w:r>
      <w:r>
        <w:rPr>
          <w:rFonts w:hint="eastAsia" w:ascii="宋体" w:hAnsi="宋体" w:cs="宋体"/>
          <w:color w:val="auto"/>
          <w:kern w:val="0"/>
          <w:highlight w:val="none"/>
        </w:rPr>
        <w:t>盖单位公章）</w:t>
      </w:r>
    </w:p>
    <w:p>
      <w:pPr>
        <w:tabs>
          <w:tab w:val="left" w:pos="4935"/>
          <w:tab w:val="left" w:pos="5460"/>
          <w:tab w:val="left" w:pos="6400"/>
        </w:tabs>
        <w:autoSpaceDE w:val="0"/>
        <w:autoSpaceDN w:val="0"/>
        <w:adjustRightInd w:val="0"/>
        <w:snapToGrid w:val="0"/>
        <w:spacing w:line="360" w:lineRule="auto"/>
        <w:ind w:firstLine="3780"/>
        <w:jc w:val="right"/>
        <w:rPr>
          <w:rFonts w:ascii="宋体"/>
          <w:color w:val="auto"/>
          <w:kern w:val="0"/>
          <w:highlight w:val="none"/>
        </w:rPr>
      </w:pPr>
      <w:r>
        <w:rPr>
          <w:rFonts w:hint="eastAsia" w:ascii="宋体"/>
          <w:color w:val="auto"/>
          <w:kern w:val="0"/>
          <w:highlight w:val="none"/>
        </w:rPr>
        <w:t xml:space="preserve">    </w:t>
      </w:r>
      <w:r>
        <w:rPr>
          <w:rFonts w:hint="eastAsia" w:ascii="宋体" w:hAnsi="宋体" w:cs="宋体"/>
          <w:color w:val="auto"/>
          <w:spacing w:val="-1"/>
          <w:kern w:val="0"/>
          <w:highlight w:val="none"/>
        </w:rPr>
        <w:t xml:space="preserve">年   </w:t>
      </w:r>
      <w:r>
        <w:rPr>
          <w:rFonts w:hint="eastAsia" w:ascii="宋体" w:hAnsi="宋体" w:cs="宋体"/>
          <w:color w:val="auto"/>
          <w:kern w:val="0"/>
          <w:highlight w:val="none"/>
        </w:rPr>
        <w:t>月   日</w:t>
      </w:r>
    </w:p>
    <w:p>
      <w:pPr>
        <w:autoSpaceDE w:val="0"/>
        <w:autoSpaceDN w:val="0"/>
        <w:adjustRightInd w:val="0"/>
        <w:snapToGrid w:val="0"/>
        <w:spacing w:line="360" w:lineRule="auto"/>
        <w:jc w:val="left"/>
        <w:rPr>
          <w:rFonts w:ascii="宋体"/>
          <w:color w:val="auto"/>
          <w:kern w:val="0"/>
          <w:highlight w:val="none"/>
        </w:rPr>
      </w:pPr>
    </w:p>
    <w:p>
      <w:pPr>
        <w:spacing w:line="360" w:lineRule="auto"/>
        <w:rPr>
          <w:rFonts w:ascii="宋体"/>
          <w:vanish/>
          <w:color w:val="auto"/>
          <w:highlight w:val="none"/>
        </w:rPr>
      </w:pPr>
    </w:p>
    <w:p>
      <w:pPr>
        <w:tabs>
          <w:tab w:val="left" w:pos="1680"/>
          <w:tab w:val="left" w:pos="4215"/>
          <w:tab w:val="left" w:pos="4305"/>
          <w:tab w:val="left" w:pos="8000"/>
        </w:tabs>
        <w:autoSpaceDE w:val="0"/>
        <w:autoSpaceDN w:val="0"/>
        <w:adjustRightInd w:val="0"/>
        <w:snapToGrid w:val="0"/>
        <w:spacing w:line="360" w:lineRule="auto"/>
        <w:rPr>
          <w:rFonts w:ascii="宋体"/>
          <w:b/>
          <w:bCs/>
          <w:color w:val="auto"/>
          <w:kern w:val="0"/>
          <w:highlight w:val="none"/>
        </w:rPr>
      </w:pPr>
    </w:p>
    <w:p>
      <w:pPr>
        <w:tabs>
          <w:tab w:val="left" w:pos="5460"/>
        </w:tabs>
        <w:autoSpaceDE w:val="0"/>
        <w:autoSpaceDN w:val="0"/>
        <w:adjustRightInd w:val="0"/>
        <w:snapToGrid w:val="0"/>
        <w:spacing w:line="360" w:lineRule="auto"/>
        <w:ind w:firstLine="420" w:firstLineChars="200"/>
        <w:jc w:val="left"/>
        <w:rPr>
          <w:rFonts w:hint="eastAsia" w:ascii="宋体" w:hAnsi="宋体" w:eastAsia="宋体" w:cs="宋体"/>
          <w:color w:val="auto"/>
          <w:kern w:val="0"/>
          <w:highlight w:val="none"/>
          <w:lang w:val="en-US" w:eastAsia="zh-CN"/>
        </w:rPr>
        <w:sectPr>
          <w:pgSz w:w="11906" w:h="16838"/>
          <w:pgMar w:top="1276" w:right="1162" w:bottom="1135" w:left="1134" w:header="851" w:footer="992" w:gutter="0"/>
          <w:pgNumType w:fmt="decimal"/>
          <w:cols w:space="720" w:num="1"/>
          <w:titlePg/>
          <w:docGrid w:type="lines" w:linePitch="312" w:charSpace="0"/>
        </w:sectPr>
      </w:pPr>
      <w:r>
        <w:rPr>
          <w:rFonts w:hint="eastAsia" w:ascii="宋体" w:hAnsi="宋体" w:eastAsia="宋体" w:cs="宋体"/>
          <w:color w:val="auto"/>
          <w:kern w:val="0"/>
          <w:highlight w:val="none"/>
          <w:lang w:val="en-US" w:eastAsia="zh-CN"/>
        </w:rPr>
        <w:t>注：法定代表人身份证明需按上述格式填写完整，不可缺少内容。在此基础上增加内容的不影响其有效性。</w:t>
      </w:r>
    </w:p>
    <w:p>
      <w:pPr>
        <w:numPr>
          <w:ilvl w:val="0"/>
          <w:numId w:val="4"/>
        </w:numPr>
        <w:spacing w:line="360" w:lineRule="auto"/>
        <w:jc w:val="center"/>
        <w:outlineLvl w:val="1"/>
        <w:rPr>
          <w:rFonts w:hint="eastAsia" w:ascii="宋体" w:hAnsi="宋体" w:cs="宋体"/>
          <w:b/>
          <w:bCs/>
          <w:color w:val="auto"/>
          <w:spacing w:val="8"/>
          <w:sz w:val="28"/>
          <w:szCs w:val="28"/>
          <w:highlight w:val="none"/>
        </w:rPr>
      </w:pPr>
      <w:bookmarkStart w:id="102" w:name="_Toc12557"/>
      <w:bookmarkStart w:id="103" w:name="_Toc26105"/>
      <w:bookmarkStart w:id="104" w:name="_Toc17235"/>
      <w:r>
        <w:rPr>
          <w:rFonts w:hint="eastAsia" w:ascii="宋体" w:hAnsi="宋体" w:cs="宋体"/>
          <w:b/>
          <w:bCs/>
          <w:color w:val="auto"/>
          <w:spacing w:val="8"/>
          <w:sz w:val="28"/>
          <w:szCs w:val="28"/>
          <w:highlight w:val="none"/>
        </w:rPr>
        <w:t>比选申请人资格</w:t>
      </w:r>
      <w:bookmarkEnd w:id="102"/>
      <w:bookmarkEnd w:id="103"/>
      <w:r>
        <w:rPr>
          <w:rFonts w:hint="eastAsia" w:ascii="宋体" w:hAnsi="宋体" w:cs="宋体"/>
          <w:b/>
          <w:bCs/>
          <w:color w:val="auto"/>
          <w:spacing w:val="8"/>
          <w:sz w:val="28"/>
          <w:szCs w:val="28"/>
          <w:highlight w:val="none"/>
        </w:rPr>
        <w:t>证明材料</w:t>
      </w:r>
      <w:bookmarkEnd w:id="104"/>
    </w:p>
    <w:p>
      <w:pPr>
        <w:rPr>
          <w:highlight w:val="none"/>
        </w:rPr>
      </w:pPr>
    </w:p>
    <w:p>
      <w:pPr>
        <w:pStyle w:val="2"/>
        <w:jc w:val="center"/>
        <w:rPr>
          <w:rFonts w:hint="eastAsia"/>
          <w:highlight w:val="none"/>
          <w:lang w:eastAsia="zh-CN"/>
        </w:rPr>
        <w:sectPr>
          <w:headerReference r:id="rId7" w:type="default"/>
          <w:footerReference r:id="rId8" w:type="default"/>
          <w:pgSz w:w="11906" w:h="16838"/>
          <w:pgMar w:top="1440" w:right="991" w:bottom="1440" w:left="1134" w:header="851" w:footer="992" w:gutter="0"/>
          <w:pgNumType w:fmt="decimal"/>
          <w:cols w:space="720" w:num="1"/>
          <w:docGrid w:type="linesAndChars" w:linePitch="312" w:charSpace="0"/>
        </w:sectPr>
      </w:pPr>
      <w:r>
        <w:rPr>
          <w:rFonts w:hint="eastAsia"/>
          <w:highlight w:val="none"/>
          <w:lang w:eastAsia="zh-CN"/>
        </w:rPr>
        <w:t>（一）营业执照</w:t>
      </w:r>
    </w:p>
    <w:p>
      <w:pPr>
        <w:pStyle w:val="2"/>
        <w:jc w:val="center"/>
        <w:rPr>
          <w:rFonts w:hint="eastAsia" w:ascii="宋体" w:hAnsi="宋体" w:eastAsia="宋体" w:cs="宋体"/>
          <w:highlight w:val="none"/>
          <w:lang w:eastAsia="zh-CN"/>
        </w:rPr>
      </w:pPr>
      <w:r>
        <w:rPr>
          <w:rFonts w:hint="eastAsia" w:ascii="宋体" w:hAnsi="宋体" w:eastAsia="宋体" w:cs="宋体"/>
          <w:highlight w:val="none"/>
          <w:lang w:eastAsia="zh-CN"/>
        </w:rPr>
        <w:t>（二）承诺书</w:t>
      </w:r>
    </w:p>
    <w:p>
      <w:pPr>
        <w:pStyle w:val="58"/>
        <w:numPr>
          <w:ilvl w:val="0"/>
          <w:numId w:val="0"/>
        </w:numPr>
        <w:tabs>
          <w:tab w:val="left" w:pos="525"/>
        </w:tabs>
        <w:spacing w:after="156" w:afterLines="50" w:line="360" w:lineRule="auto"/>
        <w:ind w:firstLineChars="0"/>
        <w:jc w:val="center"/>
        <w:rPr>
          <w:rFonts w:hint="eastAsia" w:cs="Times New Roman"/>
          <w:b w:val="0"/>
          <w:bCs w:val="0"/>
          <w:kern w:val="2"/>
          <w:sz w:val="28"/>
          <w:szCs w:val="24"/>
          <w:highlight w:val="none"/>
          <w:lang w:val="en-US" w:eastAsia="zh-CN" w:bidi="ar-SA"/>
        </w:rPr>
      </w:pPr>
      <w:r>
        <w:rPr>
          <w:rFonts w:hint="eastAsia" w:cs="Times New Roman"/>
          <w:b w:val="0"/>
          <w:bCs w:val="0"/>
          <w:kern w:val="2"/>
          <w:sz w:val="28"/>
          <w:szCs w:val="24"/>
          <w:highlight w:val="none"/>
          <w:lang w:val="en-US" w:eastAsia="zh-CN" w:bidi="ar-SA"/>
        </w:rPr>
        <w:t>承诺书</w:t>
      </w:r>
    </w:p>
    <w:p>
      <w:pPr>
        <w:spacing w:line="360" w:lineRule="auto"/>
        <w:rPr>
          <w:rFonts w:ascii="宋体" w:hAnsi="宋体"/>
          <w:color w:val="auto"/>
          <w:sz w:val="24"/>
          <w:szCs w:val="24"/>
          <w:highlight w:val="none"/>
        </w:rPr>
      </w:pPr>
      <w:r>
        <w:rPr>
          <w:rFonts w:ascii="宋体" w:hAnsi="宋体"/>
          <w:color w:val="auto"/>
          <w:sz w:val="24"/>
          <w:szCs w:val="24"/>
          <w:highlight w:val="none"/>
          <w:u w:val="single"/>
        </w:rPr>
        <w:tab/>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lang w:eastAsia="zh-CN"/>
        </w:rPr>
        <w:t>比选</w:t>
      </w:r>
      <w:r>
        <w:rPr>
          <w:rFonts w:ascii="宋体" w:hAnsi="宋体"/>
          <w:color w:val="auto"/>
          <w:sz w:val="24"/>
          <w:szCs w:val="24"/>
          <w:highlight w:val="none"/>
        </w:rPr>
        <w:t>人名称）：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我公司</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eastAsia="zh-CN"/>
        </w:rPr>
        <w:t>比选申请人</w:t>
      </w:r>
      <w:r>
        <w:rPr>
          <w:rFonts w:hint="eastAsia" w:ascii="宋体" w:hAnsi="宋体"/>
          <w:color w:val="auto"/>
          <w:sz w:val="24"/>
          <w:szCs w:val="24"/>
          <w:highlight w:val="none"/>
          <w:u w:val="single"/>
        </w:rPr>
        <w:t>名称）</w:t>
      </w:r>
      <w:r>
        <w:rPr>
          <w:rFonts w:hint="eastAsia" w:ascii="宋体" w:hAnsi="宋体"/>
          <w:color w:val="auto"/>
          <w:sz w:val="24"/>
          <w:szCs w:val="24"/>
          <w:highlight w:val="none"/>
        </w:rPr>
        <w:t>参加了贵单位</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比选</w:t>
      </w:r>
      <w:r>
        <w:rPr>
          <w:rFonts w:hint="eastAsia" w:ascii="宋体" w:hAnsi="宋体"/>
          <w:color w:val="auto"/>
          <w:sz w:val="24"/>
          <w:szCs w:val="24"/>
          <w:highlight w:val="none"/>
        </w:rPr>
        <w:t>，自愿作出以下承诺：</w:t>
      </w:r>
    </w:p>
    <w:p>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1、我公司提供的</w:t>
      </w:r>
      <w:r>
        <w:rPr>
          <w:rFonts w:hint="eastAsia" w:ascii="宋体" w:hAnsi="宋体" w:eastAsia="宋体" w:cs="宋体"/>
          <w:color w:val="auto"/>
          <w:sz w:val="24"/>
          <w:szCs w:val="24"/>
          <w:highlight w:val="none"/>
        </w:rPr>
        <w:t>产品符合国家规定的相应标准</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2、我公司如成为中选人，供货前须</w:t>
      </w:r>
      <w:r>
        <w:rPr>
          <w:rFonts w:hint="eastAsia" w:ascii="宋体" w:hAnsi="宋体" w:cs="宋体"/>
          <w:color w:val="auto"/>
          <w:sz w:val="24"/>
          <w:szCs w:val="24"/>
          <w:highlight w:val="none"/>
          <w:lang w:val="en-US" w:eastAsia="zh-CN"/>
        </w:rPr>
        <w:t>按《附件：办公家具类采购清单》（第三次）要求</w:t>
      </w:r>
      <w:r>
        <w:rPr>
          <w:rFonts w:hint="eastAsia" w:ascii="宋体" w:hAnsi="宋体" w:eastAsia="宋体" w:cs="宋体"/>
          <w:color w:val="auto"/>
          <w:sz w:val="24"/>
          <w:szCs w:val="24"/>
          <w:highlight w:val="none"/>
          <w:lang w:val="en-US" w:eastAsia="zh-CN"/>
        </w:rPr>
        <w:t>向比选人提供采购货物的第三方检测机构出具的检测报告或其他相关证明文件（包括但不限于产品合格证、产品制作工艺说明书等能够证明所购货物达到相应标准的证明材料），否则比选人有权拒收货物</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过程中出现的损失由</w:t>
      </w:r>
      <w:r>
        <w:rPr>
          <w:rFonts w:hint="eastAsia" w:ascii="宋体" w:hAnsi="宋体" w:cs="宋体"/>
          <w:color w:val="auto"/>
          <w:sz w:val="24"/>
          <w:szCs w:val="24"/>
          <w:highlight w:val="none"/>
          <w:lang w:val="en-US" w:eastAsia="zh-CN"/>
        </w:rPr>
        <w:t>我方</w:t>
      </w:r>
      <w:r>
        <w:rPr>
          <w:rFonts w:hint="eastAsia" w:ascii="宋体" w:hAnsi="宋体" w:eastAsia="宋体" w:cs="宋体"/>
          <w:color w:val="auto"/>
          <w:sz w:val="24"/>
          <w:szCs w:val="24"/>
          <w:highlight w:val="none"/>
          <w:lang w:val="en-US" w:eastAsia="zh-CN"/>
        </w:rPr>
        <w:t>自行承担；</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3、我公司自愿接受比选人在中选候选人中自主确定中选人，且不对本事项提出任何异议；</w:t>
      </w:r>
    </w:p>
    <w:p>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4、我公司并非联合体参与本项目比选，并承诺本项目不转包、不分包、不挂靠。</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、我公司的</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文件符合</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文件第</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部分</w:t>
      </w:r>
      <w:r>
        <w:rPr>
          <w:rFonts w:hint="eastAsia" w:ascii="宋体" w:hAnsi="宋体" w:cs="宋体"/>
          <w:color w:val="auto"/>
          <w:sz w:val="24"/>
          <w:szCs w:val="24"/>
          <w:highlight w:val="none"/>
        </w:rPr>
        <w:t>“合同条款及格式”规定，</w:t>
      </w:r>
      <w:r>
        <w:rPr>
          <w:rFonts w:hint="eastAsia" w:ascii="宋体" w:hAnsi="宋体" w:cs="宋体"/>
          <w:color w:val="auto"/>
          <w:sz w:val="24"/>
          <w:szCs w:val="24"/>
          <w:highlight w:val="none"/>
          <w:lang w:eastAsia="zh-CN"/>
        </w:rPr>
        <w:t>响应</w:t>
      </w:r>
      <w:r>
        <w:rPr>
          <w:rFonts w:hint="eastAsia" w:ascii="宋体" w:hAnsi="宋体" w:cs="宋体"/>
          <w:color w:val="auto"/>
          <w:sz w:val="24"/>
          <w:szCs w:val="24"/>
          <w:highlight w:val="none"/>
        </w:rPr>
        <w:t>文件中没有贵单位不能接受的条件。</w:t>
      </w:r>
      <w:r>
        <w:rPr>
          <w:rFonts w:hint="eastAsia" w:ascii="宋体" w:hAnsi="宋体" w:cs="宋体"/>
          <w:color w:val="auto"/>
          <w:sz w:val="24"/>
          <w:szCs w:val="24"/>
          <w:highlight w:val="none"/>
          <w:lang w:eastAsia="zh-CN"/>
        </w:rPr>
        <w:t>中选</w:t>
      </w:r>
      <w:r>
        <w:rPr>
          <w:rFonts w:hint="eastAsia" w:ascii="宋体" w:hAnsi="宋体" w:cs="宋体"/>
          <w:color w:val="auto"/>
          <w:sz w:val="24"/>
          <w:szCs w:val="24"/>
          <w:highlight w:val="none"/>
        </w:rPr>
        <w:t>后严格按照</w:t>
      </w:r>
      <w:r>
        <w:rPr>
          <w:rFonts w:hint="eastAsia" w:ascii="宋体" w:hAnsi="宋体" w:cs="宋体"/>
          <w:color w:val="auto"/>
          <w:sz w:val="24"/>
          <w:szCs w:val="24"/>
          <w:highlight w:val="none"/>
          <w:lang w:eastAsia="zh-CN"/>
        </w:rPr>
        <w:t>竞争性比选</w:t>
      </w:r>
      <w:r>
        <w:rPr>
          <w:rFonts w:hint="eastAsia" w:ascii="宋体" w:hAnsi="宋体" w:cs="宋体"/>
          <w:color w:val="auto"/>
          <w:sz w:val="24"/>
          <w:szCs w:val="24"/>
          <w:highlight w:val="none"/>
        </w:rPr>
        <w:t>文件《第三部分 合同条款及格式》的内容要求与</w:t>
      </w:r>
      <w:r>
        <w:rPr>
          <w:rFonts w:hint="eastAsia" w:ascii="宋体" w:hAnsi="宋体" w:cs="宋体"/>
          <w:color w:val="auto"/>
          <w:sz w:val="24"/>
          <w:szCs w:val="24"/>
          <w:highlight w:val="none"/>
          <w:lang w:eastAsia="zh-CN"/>
        </w:rPr>
        <w:t>比选</w:t>
      </w:r>
      <w:r>
        <w:rPr>
          <w:rFonts w:hint="eastAsia" w:ascii="宋体" w:hAnsi="宋体" w:cs="宋体"/>
          <w:color w:val="auto"/>
          <w:sz w:val="24"/>
          <w:szCs w:val="24"/>
          <w:highlight w:val="none"/>
        </w:rPr>
        <w:t>人签订合同。</w:t>
      </w:r>
    </w:p>
    <w:p>
      <w:pPr>
        <w:pStyle w:val="3"/>
        <w:spacing w:line="360" w:lineRule="auto"/>
        <w:ind w:left="63" w:right="63" w:firstLine="480" w:firstLineChars="200"/>
        <w:jc w:val="left"/>
        <w:rPr>
          <w:rFonts w:eastAsia="宋体" w:cs="宋体"/>
          <w:color w:val="auto"/>
          <w:highlight w:val="none"/>
        </w:rPr>
      </w:pPr>
      <w:r>
        <w:rPr>
          <w:rFonts w:hint="eastAsia" w:eastAsia="宋体" w:cs="宋体"/>
          <w:color w:val="auto"/>
          <w:szCs w:val="24"/>
          <w:highlight w:val="none"/>
        </w:rPr>
        <w:t>特此承诺！</w:t>
      </w:r>
    </w:p>
    <w:p>
      <w:pPr>
        <w:spacing w:line="360" w:lineRule="auto"/>
        <w:ind w:firstLine="480" w:firstLineChars="200"/>
        <w:rPr>
          <w:rFonts w:ascii="宋体" w:hAnsi="宋体" w:cs="宋体"/>
          <w:color w:val="auto"/>
          <w:sz w:val="24"/>
          <w:szCs w:val="24"/>
          <w:highlight w:val="none"/>
        </w:rPr>
      </w:pPr>
    </w:p>
    <w:p>
      <w:pPr>
        <w:spacing w:line="360" w:lineRule="auto"/>
        <w:ind w:firstLine="480" w:firstLineChars="200"/>
        <w:rPr>
          <w:rFonts w:ascii="宋体" w:hAnsi="宋体" w:cs="宋体"/>
          <w:color w:val="auto"/>
          <w:sz w:val="24"/>
          <w:szCs w:val="24"/>
          <w:highlight w:val="none"/>
        </w:rPr>
      </w:pPr>
    </w:p>
    <w:p>
      <w:pPr>
        <w:tabs>
          <w:tab w:val="left" w:pos="5460"/>
        </w:tabs>
        <w:autoSpaceDE w:val="0"/>
        <w:autoSpaceDN w:val="0"/>
        <w:adjustRightInd w:val="0"/>
        <w:snapToGrid w:val="0"/>
        <w:spacing w:line="360" w:lineRule="auto"/>
        <w:ind w:firstLine="2100"/>
        <w:jc w:val="right"/>
        <w:rPr>
          <w:rFonts w:ascii="宋体"/>
          <w:color w:val="auto"/>
          <w:kern w:val="0"/>
          <w:sz w:val="24"/>
          <w:szCs w:val="24"/>
          <w:highlight w:val="none"/>
        </w:rPr>
      </w:pPr>
      <w:r>
        <w:rPr>
          <w:rFonts w:hint="eastAsia" w:ascii="宋体" w:hAnsi="宋体" w:cs="宋体"/>
          <w:color w:val="auto"/>
          <w:kern w:val="0"/>
          <w:sz w:val="24"/>
          <w:szCs w:val="24"/>
          <w:highlight w:val="none"/>
          <w:lang w:eastAsia="zh-CN"/>
        </w:rPr>
        <w:t>比</w:t>
      </w:r>
      <w:r>
        <w:rPr>
          <w:rFonts w:hint="eastAsia" w:ascii="宋体" w:hAnsi="宋体" w:cs="宋体"/>
          <w:color w:val="auto"/>
          <w:kern w:val="0"/>
          <w:sz w:val="24"/>
          <w:szCs w:val="24"/>
          <w:highlight w:val="none"/>
        </w:rPr>
        <w:t>选申请人：</w:t>
      </w:r>
      <w:r>
        <w:rPr>
          <w:rFonts w:ascii="宋体"/>
          <w:color w:val="auto"/>
          <w:kern w:val="0"/>
          <w:sz w:val="24"/>
          <w:szCs w:val="24"/>
          <w:highlight w:val="none"/>
          <w:u w:val="single"/>
        </w:rPr>
        <w:tab/>
      </w:r>
      <w:r>
        <w:rPr>
          <w:rFonts w:hint="eastAsia" w:ascii="宋体" w:hAnsi="宋体" w:cs="宋体"/>
          <w:color w:val="auto"/>
          <w:spacing w:val="-1"/>
          <w:kern w:val="0"/>
          <w:sz w:val="24"/>
          <w:szCs w:val="24"/>
          <w:highlight w:val="none"/>
        </w:rPr>
        <w:t>（</w:t>
      </w:r>
      <w:r>
        <w:rPr>
          <w:rFonts w:hint="eastAsia" w:ascii="宋体" w:hAnsi="宋体" w:cs="宋体"/>
          <w:color w:val="auto"/>
          <w:kern w:val="0"/>
          <w:sz w:val="24"/>
          <w:szCs w:val="24"/>
          <w:highlight w:val="none"/>
        </w:rPr>
        <w:t>盖单位公章）</w:t>
      </w:r>
    </w:p>
    <w:p>
      <w:pPr>
        <w:pStyle w:val="58"/>
        <w:tabs>
          <w:tab w:val="left" w:pos="525"/>
        </w:tabs>
        <w:spacing w:after="120" w:afterLines="50" w:line="360" w:lineRule="auto"/>
        <w:ind w:firstLine="0" w:firstLineChars="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（签字或盖章）</w:t>
      </w:r>
    </w:p>
    <w:p>
      <w:pPr>
        <w:autoSpaceDE w:val="0"/>
        <w:autoSpaceDN w:val="0"/>
        <w:adjustRightInd w:val="0"/>
        <w:snapToGrid w:val="0"/>
        <w:spacing w:line="360" w:lineRule="auto"/>
        <w:jc w:val="right"/>
        <w:rPr>
          <w:rFonts w:ascii="宋体"/>
          <w:color w:val="auto"/>
          <w:kern w:val="0"/>
          <w:sz w:val="24"/>
          <w:szCs w:val="24"/>
          <w:highlight w:val="none"/>
        </w:rPr>
      </w:pPr>
    </w:p>
    <w:p>
      <w:pPr>
        <w:tabs>
          <w:tab w:val="left" w:pos="4935"/>
          <w:tab w:val="left" w:pos="5460"/>
          <w:tab w:val="left" w:pos="6400"/>
        </w:tabs>
        <w:autoSpaceDE w:val="0"/>
        <w:autoSpaceDN w:val="0"/>
        <w:adjustRightInd w:val="0"/>
        <w:snapToGrid w:val="0"/>
        <w:spacing w:line="360" w:lineRule="auto"/>
        <w:ind w:firstLine="3780"/>
        <w:jc w:val="right"/>
        <w:rPr>
          <w:rFonts w:ascii="宋体"/>
          <w:color w:val="auto"/>
          <w:kern w:val="0"/>
          <w:sz w:val="24"/>
          <w:szCs w:val="24"/>
          <w:highlight w:val="none"/>
        </w:rPr>
      </w:pPr>
      <w:r>
        <w:rPr>
          <w:rFonts w:hint="eastAsia" w:ascii="宋体"/>
          <w:color w:val="auto"/>
          <w:kern w:val="0"/>
          <w:sz w:val="24"/>
          <w:szCs w:val="24"/>
          <w:highlight w:val="none"/>
        </w:rPr>
        <w:t xml:space="preserve">    </w:t>
      </w:r>
      <w:r>
        <w:rPr>
          <w:rFonts w:hint="eastAsia" w:ascii="宋体" w:hAnsi="宋体" w:cs="宋体"/>
          <w:color w:val="auto"/>
          <w:spacing w:val="-1"/>
          <w:kern w:val="0"/>
          <w:sz w:val="24"/>
          <w:szCs w:val="24"/>
          <w:highlight w:val="none"/>
        </w:rPr>
        <w:t xml:space="preserve">年   </w:t>
      </w:r>
      <w:r>
        <w:rPr>
          <w:rFonts w:hint="eastAsia" w:ascii="宋体" w:hAnsi="宋体" w:cs="宋体"/>
          <w:color w:val="auto"/>
          <w:kern w:val="0"/>
          <w:sz w:val="24"/>
          <w:szCs w:val="24"/>
          <w:highlight w:val="none"/>
        </w:rPr>
        <w:t>月   日</w:t>
      </w:r>
    </w:p>
    <w:p>
      <w:pPr>
        <w:rPr>
          <w:rFonts w:hint="eastAsia"/>
          <w:highlight w:val="none"/>
          <w:lang w:eastAsia="zh-CN"/>
        </w:rPr>
      </w:pPr>
      <w:r>
        <w:rPr>
          <w:rFonts w:hint="eastAsia"/>
          <w:highlight w:val="none"/>
          <w:lang w:eastAsia="zh-CN"/>
        </w:rPr>
        <w:br w:type="page"/>
      </w:r>
    </w:p>
    <w:p>
      <w:pPr>
        <w:pStyle w:val="2"/>
        <w:jc w:val="center"/>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cs="宋体"/>
          <w:highlight w:val="none"/>
          <w:lang w:val="en-US" w:eastAsia="zh-CN"/>
        </w:rPr>
        <w:t>三</w:t>
      </w:r>
      <w:r>
        <w:rPr>
          <w:rFonts w:hint="eastAsia" w:ascii="宋体" w:hAnsi="宋体" w:eastAsia="宋体" w:cs="宋体"/>
          <w:highlight w:val="none"/>
          <w:lang w:eastAsia="zh-CN"/>
        </w:rPr>
        <w:t>）第三方检测机构出具的检测报告或其他相关证明文件</w:t>
      </w:r>
    </w:p>
    <w:p>
      <w:pPr>
        <w:pStyle w:val="4"/>
        <w:rPr>
          <w:rFonts w:hint="eastAsia"/>
          <w:lang w:eastAsia="zh-CN"/>
        </w:rPr>
        <w:sectPr>
          <w:pgSz w:w="11906" w:h="16838"/>
          <w:pgMar w:top="1440" w:right="991" w:bottom="1440" w:left="1134" w:header="851" w:footer="992" w:gutter="0"/>
          <w:pgNumType w:fmt="decimal"/>
          <w:cols w:space="720" w:num="1"/>
          <w:docGrid w:type="linesAndChars" w:linePitch="312" w:charSpace="0"/>
        </w:sectPr>
      </w:pPr>
    </w:p>
    <w:p>
      <w:pPr>
        <w:numPr>
          <w:ilvl w:val="0"/>
          <w:numId w:val="4"/>
        </w:numPr>
        <w:spacing w:line="400" w:lineRule="exact"/>
        <w:ind w:left="0" w:leftChars="0" w:firstLine="0" w:firstLineChars="0"/>
        <w:jc w:val="center"/>
        <w:rPr>
          <w:rFonts w:hint="eastAsia" w:ascii="宋体" w:hAnsi="宋体" w:cs="宋体"/>
          <w:b/>
          <w:bCs/>
          <w:color w:val="auto"/>
          <w:spacing w:val="8"/>
          <w:sz w:val="28"/>
          <w:szCs w:val="28"/>
          <w:highlight w:val="none"/>
        </w:rPr>
      </w:pPr>
      <w:r>
        <w:rPr>
          <w:rFonts w:hint="eastAsia" w:ascii="宋体" w:hAnsi="宋体" w:cs="宋体"/>
          <w:b/>
          <w:bCs/>
          <w:color w:val="auto"/>
          <w:spacing w:val="8"/>
          <w:sz w:val="28"/>
          <w:szCs w:val="28"/>
          <w:highlight w:val="none"/>
        </w:rPr>
        <w:t>比选文件规定的其它资料</w:t>
      </w:r>
    </w:p>
    <w:p>
      <w:pPr>
        <w:spacing w:line="360" w:lineRule="auto"/>
        <w:ind w:firstLine="420" w:firstLineChars="200"/>
        <w:rPr>
          <w:rFonts w:hint="default" w:ascii="宋体" w:hAnsi="宋体" w:eastAsia="宋体" w:cs="宋体"/>
          <w:color w:val="auto"/>
          <w:sz w:val="24"/>
          <w:szCs w:val="24"/>
          <w:highlight w:val="none"/>
          <w:lang w:val="en-US" w:eastAsia="zh-CN"/>
        </w:rPr>
      </w:pPr>
      <w:r>
        <w:rPr>
          <w:rFonts w:hint="eastAsia"/>
          <w:color w:val="auto"/>
          <w:highlight w:val="none"/>
          <w:lang w:eastAsia="zh-CN"/>
        </w:rPr>
        <w:t>比选申请人根据竞争性比选文件要求自行提供，</w:t>
      </w:r>
      <w:r>
        <w:rPr>
          <w:rFonts w:hint="eastAsia"/>
          <w:color w:val="auto"/>
          <w:highlight w:val="none"/>
          <w:lang w:val="en-US" w:eastAsia="zh-CN"/>
        </w:rPr>
        <w:t>格式自拟。</w:t>
      </w:r>
    </w:p>
    <w:p>
      <w:pPr>
        <w:spacing w:line="360" w:lineRule="auto"/>
        <w:ind w:firstLine="480" w:firstLineChars="200"/>
        <w:rPr>
          <w:rFonts w:hint="eastAsia" w:ascii="宋体" w:hAnsi="宋体" w:eastAsia="宋体" w:cs="宋体"/>
          <w:color w:val="auto"/>
          <w:sz w:val="24"/>
          <w:szCs w:val="24"/>
          <w:highlight w:val="none"/>
          <w:lang w:val="en-US" w:eastAsia="zh-CN"/>
        </w:rPr>
      </w:pPr>
    </w:p>
    <w:p>
      <w:pPr>
        <w:pStyle w:val="7"/>
        <w:rPr>
          <w:color w:val="auto"/>
          <w:highlight w:val="none"/>
        </w:rPr>
      </w:pPr>
    </w:p>
    <w:sectPr>
      <w:headerReference r:id="rId9" w:type="default"/>
      <w:footerReference r:id="rId10" w:type="default"/>
      <w:pgSz w:w="11906" w:h="16838"/>
      <w:pgMar w:top="1440" w:right="991" w:bottom="1440" w:left="1134"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embedRegular r:id="rId1" w:fontKey="{35A35A5C-1E31-4F38-A930-B830B9817C5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5F3FF69-9A22-4D5A-917F-C6B708F11E1B}"/>
  </w:font>
  <w:font w:name="仿宋_GB2312">
    <w:altName w:val="仿宋"/>
    <w:panose1 w:val="00000000000000000000"/>
    <w:charset w:val="86"/>
    <w:family w:val="auto"/>
    <w:pitch w:val="default"/>
    <w:sig w:usb0="00000000" w:usb1="0000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embedRegular r:id="rId3" w:fontKey="{47C362F3-CC7A-4AEC-8E8F-D1372A997465}"/>
  </w:font>
  <w:font w:name="Helvetica">
    <w:altName w:val="Arial"/>
    <w:panose1 w:val="020B0604020202020204"/>
    <w:charset w:val="00"/>
    <w:family w:val="swiss"/>
    <w:pitch w:val="default"/>
    <w:sig w:usb0="00000000" w:usb1="00000000" w:usb2="00000000" w:usb3="00000000" w:csb0="00000001" w:csb1="00000000"/>
    <w:embedRegular r:id="rId4" w:fontKey="{0E39AE04-1793-4E01-B1AF-BF1F30EF3DAE}"/>
  </w:font>
  <w:font w:name="方正小标宋_GBK">
    <w:panose1 w:val="03000509000000000000"/>
    <w:charset w:val="86"/>
    <w:family w:val="script"/>
    <w:pitch w:val="default"/>
    <w:sig w:usb0="00000001" w:usb1="080E0000" w:usb2="00000000" w:usb3="00000000" w:csb0="00040000" w:csb1="00000000"/>
    <w:embedRegular r:id="rId5" w:fontKey="{4ACB5377-0553-40ED-83DC-7E37FCE1D20C}"/>
  </w:font>
  <w:font w:name="方正仿宋_GBK">
    <w:panose1 w:val="03000509000000000000"/>
    <w:charset w:val="86"/>
    <w:family w:val="auto"/>
    <w:pitch w:val="default"/>
    <w:sig w:usb0="00000001" w:usb1="080E0000" w:usb2="00000000" w:usb3="00000000" w:csb0="00040000" w:csb1="00000000"/>
    <w:embedRegular r:id="rId6" w:fontKey="{4E531AF3-66B7-4AAB-93AC-990DF08E0395}"/>
  </w:font>
  <w:font w:name="等线">
    <w:panose1 w:val="02010600030101010101"/>
    <w:charset w:val="86"/>
    <w:family w:val="auto"/>
    <w:pitch w:val="default"/>
    <w:sig w:usb0="A00002BF" w:usb1="38CF7CFA" w:usb2="00000016" w:usb3="00000000" w:csb0="0004000F" w:csb1="00000000"/>
    <w:embedRegular r:id="rId7" w:fontKey="{EECC0556-3AC2-475D-A0D4-4778D7583620}"/>
  </w:font>
  <w:font w:name="楷体">
    <w:panose1 w:val="02010609060101010101"/>
    <w:charset w:val="86"/>
    <w:family w:val="modern"/>
    <w:pitch w:val="default"/>
    <w:sig w:usb0="800002BF" w:usb1="38CF7CFA" w:usb2="00000016" w:usb3="00000000" w:csb0="00040001" w:csb1="00000000"/>
    <w:embedRegular r:id="rId8" w:fontKey="{2F99AF23-7604-4197-9258-ABBC999BC4E7}"/>
  </w:font>
  <w:font w:name="微软雅黑">
    <w:panose1 w:val="020B0503020204020204"/>
    <w:charset w:val="86"/>
    <w:family w:val="swiss"/>
    <w:pitch w:val="default"/>
    <w:sig w:usb0="80000287" w:usb1="2ACF3C50" w:usb2="00000016" w:usb3="00000000" w:csb0="0004001F" w:csb1="00000000"/>
    <w:embedRegular r:id="rId9" w:fontKey="{B57977EF-E4F3-4F0F-8834-059F13C71DF0}"/>
  </w:font>
  <w:font w:name="MingLiU">
    <w:panose1 w:val="02020509000000000000"/>
    <w:charset w:val="88"/>
    <w:family w:val="modern"/>
    <w:pitch w:val="default"/>
    <w:sig w:usb0="A00002FF" w:usb1="28CFFCFA" w:usb2="00000016" w:usb3="00000000" w:csb0="00100001" w:csb1="00000000"/>
    <w:embedRegular r:id="rId10" w:fontKey="{7F520DB4-6F94-4848-9730-5617EDA5CA5B}"/>
  </w:font>
  <w:font w:name="华文细黑">
    <w:panose1 w:val="02010600040101010101"/>
    <w:charset w:val="86"/>
    <w:family w:val="auto"/>
    <w:pitch w:val="default"/>
    <w:sig w:usb0="00000287" w:usb1="080F0000" w:usb2="00000000" w:usb3="00000000" w:csb0="0004009F" w:csb1="DFD70000"/>
    <w:embedRegular r:id="rId11" w:fontKey="{0791C348-C103-43CD-BE8D-1C85D2207D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v&#10;9iPbtwEAAJcDAAAOAAAAAAAAAAEAIAAAAB4BAABkcnMvZTJvRG9jLnhtbFBLBQYAAAAABgAGAFkB&#10;AABHBQAAAAA=&#10;">
              <v:fill on="f" focussize="0,0"/>
              <v:stroke on="f"/>
              <v:imagedata o:title=""/>
              <o:lock v:ext="edit" aspectratio="f"/>
              <v:textbox inset="0mm,0mm,0mm,0mm" style="mso-fit-shape-to-text:t;">
                <w:txbxContent>
                  <w:p>
                    <w:pPr>
                      <w:pStyle w:val="21"/>
                      <w:jc w:val="center"/>
                    </w:pPr>
                    <w:r>
                      <w:t xml:space="preserve">第 </w:t>
                    </w:r>
                    <w:r>
                      <w:fldChar w:fldCharType="begin"/>
                    </w:r>
                    <w:r>
                      <w:instrText xml:space="preserve"> PAGE  \* MERGEFORMAT </w:instrText>
                    </w:r>
                    <w:r>
                      <w:fldChar w:fldCharType="separate"/>
                    </w:r>
                    <w:r>
                      <w:t>一</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2336" behindDoc="0" locked="0" layoutInCell="1" allowOverlap="1">
              <wp:simplePos x="0" y="0"/>
              <wp:positionH relativeFrom="margin">
                <wp:posOffset>3036570</wp:posOffset>
              </wp:positionH>
              <wp:positionV relativeFrom="paragraph">
                <wp:posOffset>-79375</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9" o:spid="_x0000_s1026" o:spt="202" type="#_x0000_t202" style="position:absolute;left:0pt;margin-left:239.1pt;margin-top:-6.25pt;height:144pt;width:144pt;mso-position-horizontal-relative:margin;mso-wrap-style:none;z-index:251662336;mso-width-relative:page;mso-height-relative:page;" filled="f" stroked="f" coordsize="21600,21600" o:gfxdata="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VUrzHtkAAAALAQAADwAAAAAAAAABACAAAAAiAAAAZHJzL2Rv&#10;d25yZXYueG1sUEsBAhQAFAAAAAgAh07iQLDohXI5AgAAcQQAAA4AAAAAAAAAAQAgAAAAKAEAAGRy&#10;cy9lMm9Eb2MueG1sUEsFBgAAAAAGAAYAWQEAANMFA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方正仿宋_GBK" w:eastAsia="方正仿宋_GBK" w:cs="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rPr>
        <w:rFonts w:ascii="方正仿宋_GBK" w:eastAsia="方正仿宋_GBK" w:cs="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F3BB"/>
    <w:multiLevelType w:val="singleLevel"/>
    <w:tmpl w:val="9584F3BB"/>
    <w:lvl w:ilvl="0" w:tentative="0">
      <w:start w:val="1"/>
      <w:numFmt w:val="chineseCounting"/>
      <w:suff w:val="space"/>
      <w:lvlText w:val="第%1部分"/>
      <w:lvlJc w:val="left"/>
      <w:rPr>
        <w:rFonts w:hint="eastAsia"/>
      </w:rPr>
    </w:lvl>
  </w:abstractNum>
  <w:abstractNum w:abstractNumId="1">
    <w:nsid w:val="0076D4DE"/>
    <w:multiLevelType w:val="singleLevel"/>
    <w:tmpl w:val="0076D4DE"/>
    <w:lvl w:ilvl="0" w:tentative="0">
      <w:start w:val="1"/>
      <w:numFmt w:val="decimal"/>
      <w:suff w:val="nothing"/>
      <w:lvlText w:val="%1、"/>
      <w:lvlJc w:val="left"/>
    </w:lvl>
  </w:abstractNum>
  <w:abstractNum w:abstractNumId="2">
    <w:nsid w:val="57B01D9E"/>
    <w:multiLevelType w:val="singleLevel"/>
    <w:tmpl w:val="57B01D9E"/>
    <w:lvl w:ilvl="0" w:tentative="0">
      <w:start w:val="1"/>
      <w:numFmt w:val="decimal"/>
      <w:lvlText w:val="%1."/>
      <w:lvlJc w:val="left"/>
      <w:pPr>
        <w:tabs>
          <w:tab w:val="left" w:pos="312"/>
        </w:tabs>
      </w:pPr>
    </w:lvl>
  </w:abstractNum>
  <w:abstractNum w:abstractNumId="3">
    <w:nsid w:val="605319C0"/>
    <w:multiLevelType w:val="singleLevel"/>
    <w:tmpl w:val="605319C0"/>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ZjZlMWMwNmUwOGNkNzYzY2E0MGJiYWJlZGVkMTEifQ=="/>
  </w:docVars>
  <w:rsids>
    <w:rsidRoot w:val="71100B0B"/>
    <w:rsid w:val="0005593E"/>
    <w:rsid w:val="000870CE"/>
    <w:rsid w:val="000B0997"/>
    <w:rsid w:val="000E37DA"/>
    <w:rsid w:val="000F74D1"/>
    <w:rsid w:val="0011760F"/>
    <w:rsid w:val="00167DBF"/>
    <w:rsid w:val="001B223C"/>
    <w:rsid w:val="001F131A"/>
    <w:rsid w:val="0024448E"/>
    <w:rsid w:val="002B3375"/>
    <w:rsid w:val="00326BF0"/>
    <w:rsid w:val="003468C0"/>
    <w:rsid w:val="003765E2"/>
    <w:rsid w:val="003A40DA"/>
    <w:rsid w:val="003E343B"/>
    <w:rsid w:val="003F6856"/>
    <w:rsid w:val="00451EB3"/>
    <w:rsid w:val="004B2CE7"/>
    <w:rsid w:val="004F4A22"/>
    <w:rsid w:val="004F53FF"/>
    <w:rsid w:val="005805CF"/>
    <w:rsid w:val="005B2572"/>
    <w:rsid w:val="00606255"/>
    <w:rsid w:val="00610AA4"/>
    <w:rsid w:val="006832BA"/>
    <w:rsid w:val="006B4DA4"/>
    <w:rsid w:val="00786B63"/>
    <w:rsid w:val="007E2EF7"/>
    <w:rsid w:val="008373AA"/>
    <w:rsid w:val="008C3CB1"/>
    <w:rsid w:val="00924422"/>
    <w:rsid w:val="00A03DC0"/>
    <w:rsid w:val="00A33122"/>
    <w:rsid w:val="00A41783"/>
    <w:rsid w:val="00A43430"/>
    <w:rsid w:val="00A4636D"/>
    <w:rsid w:val="00AC7934"/>
    <w:rsid w:val="00AF45D6"/>
    <w:rsid w:val="00B005B3"/>
    <w:rsid w:val="00B11D9F"/>
    <w:rsid w:val="00B87D2F"/>
    <w:rsid w:val="00BA6E70"/>
    <w:rsid w:val="00BB793A"/>
    <w:rsid w:val="00C443E3"/>
    <w:rsid w:val="00D05C77"/>
    <w:rsid w:val="00D42B17"/>
    <w:rsid w:val="00D7765B"/>
    <w:rsid w:val="00E25D66"/>
    <w:rsid w:val="00EF344C"/>
    <w:rsid w:val="00FC168D"/>
    <w:rsid w:val="00FD64CC"/>
    <w:rsid w:val="0136557F"/>
    <w:rsid w:val="013712F7"/>
    <w:rsid w:val="01E04094"/>
    <w:rsid w:val="022B0E5C"/>
    <w:rsid w:val="024B6E08"/>
    <w:rsid w:val="025E2C0F"/>
    <w:rsid w:val="02E132C9"/>
    <w:rsid w:val="032F7D15"/>
    <w:rsid w:val="039D61BD"/>
    <w:rsid w:val="03A47656"/>
    <w:rsid w:val="03B677F7"/>
    <w:rsid w:val="03C01317"/>
    <w:rsid w:val="040B13A1"/>
    <w:rsid w:val="040C25C7"/>
    <w:rsid w:val="04620DD1"/>
    <w:rsid w:val="046406BD"/>
    <w:rsid w:val="0484345B"/>
    <w:rsid w:val="04B22A11"/>
    <w:rsid w:val="04B446CB"/>
    <w:rsid w:val="04EB48D3"/>
    <w:rsid w:val="04F574FF"/>
    <w:rsid w:val="04FD1B54"/>
    <w:rsid w:val="057C5969"/>
    <w:rsid w:val="05880374"/>
    <w:rsid w:val="0600615C"/>
    <w:rsid w:val="06241EFE"/>
    <w:rsid w:val="064222D0"/>
    <w:rsid w:val="06461418"/>
    <w:rsid w:val="065F10D4"/>
    <w:rsid w:val="067E6BF1"/>
    <w:rsid w:val="06856661"/>
    <w:rsid w:val="06E710CA"/>
    <w:rsid w:val="074E2EF7"/>
    <w:rsid w:val="077341BA"/>
    <w:rsid w:val="077829F6"/>
    <w:rsid w:val="07794418"/>
    <w:rsid w:val="078F52CF"/>
    <w:rsid w:val="07A73C1C"/>
    <w:rsid w:val="07C61493"/>
    <w:rsid w:val="07C66F31"/>
    <w:rsid w:val="07C81AF4"/>
    <w:rsid w:val="07C909B9"/>
    <w:rsid w:val="07F65A68"/>
    <w:rsid w:val="0808579C"/>
    <w:rsid w:val="083E11BD"/>
    <w:rsid w:val="08C23B9D"/>
    <w:rsid w:val="08CE2541"/>
    <w:rsid w:val="08DA10A5"/>
    <w:rsid w:val="08F85FEC"/>
    <w:rsid w:val="09656C37"/>
    <w:rsid w:val="09CA0558"/>
    <w:rsid w:val="09F14739"/>
    <w:rsid w:val="0A140428"/>
    <w:rsid w:val="0A283ED3"/>
    <w:rsid w:val="0A284861"/>
    <w:rsid w:val="0A5922DF"/>
    <w:rsid w:val="0A5A4C96"/>
    <w:rsid w:val="0A7F062C"/>
    <w:rsid w:val="0A884153"/>
    <w:rsid w:val="0AFD0EBC"/>
    <w:rsid w:val="0B2B03D2"/>
    <w:rsid w:val="0B4E1F1F"/>
    <w:rsid w:val="0B896623"/>
    <w:rsid w:val="0BC02C20"/>
    <w:rsid w:val="0BFA6134"/>
    <w:rsid w:val="0C1F79B0"/>
    <w:rsid w:val="0C264442"/>
    <w:rsid w:val="0C637445"/>
    <w:rsid w:val="0CA36788"/>
    <w:rsid w:val="0CAA5416"/>
    <w:rsid w:val="0CB55A65"/>
    <w:rsid w:val="0CF307C8"/>
    <w:rsid w:val="0D0C5541"/>
    <w:rsid w:val="0D1D4F92"/>
    <w:rsid w:val="0D4459BE"/>
    <w:rsid w:val="0D584ACF"/>
    <w:rsid w:val="0D661447"/>
    <w:rsid w:val="0DB31102"/>
    <w:rsid w:val="0DB55A7E"/>
    <w:rsid w:val="0DE87C01"/>
    <w:rsid w:val="0E034A3B"/>
    <w:rsid w:val="0E225C0E"/>
    <w:rsid w:val="0E230C39"/>
    <w:rsid w:val="0E4F7C80"/>
    <w:rsid w:val="0E7E5DAE"/>
    <w:rsid w:val="0E870973"/>
    <w:rsid w:val="0EA004DC"/>
    <w:rsid w:val="0EC57F43"/>
    <w:rsid w:val="0ECF0DC1"/>
    <w:rsid w:val="0EF368D5"/>
    <w:rsid w:val="0F47006F"/>
    <w:rsid w:val="0F555DB2"/>
    <w:rsid w:val="0F6E05DA"/>
    <w:rsid w:val="0FD54C2D"/>
    <w:rsid w:val="0FDD12BC"/>
    <w:rsid w:val="102D5E8E"/>
    <w:rsid w:val="104B066F"/>
    <w:rsid w:val="10AB3562"/>
    <w:rsid w:val="10CF1CC7"/>
    <w:rsid w:val="10EF7922"/>
    <w:rsid w:val="117B6FDE"/>
    <w:rsid w:val="11875983"/>
    <w:rsid w:val="11922E6D"/>
    <w:rsid w:val="11AF53FD"/>
    <w:rsid w:val="11BF511D"/>
    <w:rsid w:val="120314AE"/>
    <w:rsid w:val="120C00D0"/>
    <w:rsid w:val="121B5A49"/>
    <w:rsid w:val="121C60CC"/>
    <w:rsid w:val="124D19A9"/>
    <w:rsid w:val="124E4959"/>
    <w:rsid w:val="1279195B"/>
    <w:rsid w:val="13196AAF"/>
    <w:rsid w:val="135B2C24"/>
    <w:rsid w:val="14283813"/>
    <w:rsid w:val="14373691"/>
    <w:rsid w:val="14396DEC"/>
    <w:rsid w:val="14575AE1"/>
    <w:rsid w:val="149634DA"/>
    <w:rsid w:val="14EE5A8C"/>
    <w:rsid w:val="14F21366"/>
    <w:rsid w:val="14FB1332"/>
    <w:rsid w:val="15000BA8"/>
    <w:rsid w:val="154E41FB"/>
    <w:rsid w:val="156A53A0"/>
    <w:rsid w:val="15770141"/>
    <w:rsid w:val="15A703A2"/>
    <w:rsid w:val="15BF0BAF"/>
    <w:rsid w:val="15EF65BB"/>
    <w:rsid w:val="16175528"/>
    <w:rsid w:val="16201F02"/>
    <w:rsid w:val="16571DC8"/>
    <w:rsid w:val="16A3500D"/>
    <w:rsid w:val="16C531D6"/>
    <w:rsid w:val="16D71EDB"/>
    <w:rsid w:val="16F720CE"/>
    <w:rsid w:val="170373FF"/>
    <w:rsid w:val="176963C0"/>
    <w:rsid w:val="17C6418D"/>
    <w:rsid w:val="17E466CC"/>
    <w:rsid w:val="180C0909"/>
    <w:rsid w:val="182D493B"/>
    <w:rsid w:val="184C396E"/>
    <w:rsid w:val="18736608"/>
    <w:rsid w:val="189839B8"/>
    <w:rsid w:val="18C41B1A"/>
    <w:rsid w:val="18FE735A"/>
    <w:rsid w:val="191B713B"/>
    <w:rsid w:val="191F46F3"/>
    <w:rsid w:val="19244242"/>
    <w:rsid w:val="19552FF9"/>
    <w:rsid w:val="197C0CF2"/>
    <w:rsid w:val="19921369"/>
    <w:rsid w:val="19AD0F5A"/>
    <w:rsid w:val="19BE215E"/>
    <w:rsid w:val="1A0E6809"/>
    <w:rsid w:val="1A131C90"/>
    <w:rsid w:val="1A562397"/>
    <w:rsid w:val="1A7B1F72"/>
    <w:rsid w:val="1A8602DA"/>
    <w:rsid w:val="1AD847B3"/>
    <w:rsid w:val="1B0B3181"/>
    <w:rsid w:val="1B251BB3"/>
    <w:rsid w:val="1B7E783B"/>
    <w:rsid w:val="1B803130"/>
    <w:rsid w:val="1B8F5B60"/>
    <w:rsid w:val="1B9C027D"/>
    <w:rsid w:val="1BA710C8"/>
    <w:rsid w:val="1BD9327F"/>
    <w:rsid w:val="1BDC09BA"/>
    <w:rsid w:val="1BDE3D6A"/>
    <w:rsid w:val="1C0C5403"/>
    <w:rsid w:val="1C1158C6"/>
    <w:rsid w:val="1C36422E"/>
    <w:rsid w:val="1C66142C"/>
    <w:rsid w:val="1C8162E2"/>
    <w:rsid w:val="1C9553F8"/>
    <w:rsid w:val="1CA24D8B"/>
    <w:rsid w:val="1CDF62F9"/>
    <w:rsid w:val="1CF0262F"/>
    <w:rsid w:val="1CF77E61"/>
    <w:rsid w:val="1D1125BF"/>
    <w:rsid w:val="1D3D7CBD"/>
    <w:rsid w:val="1DED36A7"/>
    <w:rsid w:val="1DEE2694"/>
    <w:rsid w:val="1E0345E3"/>
    <w:rsid w:val="1E0F2F88"/>
    <w:rsid w:val="1E2F53D8"/>
    <w:rsid w:val="1E733517"/>
    <w:rsid w:val="1E884DA9"/>
    <w:rsid w:val="1E9B2833"/>
    <w:rsid w:val="1EC76CE7"/>
    <w:rsid w:val="1EDC730E"/>
    <w:rsid w:val="1F06438B"/>
    <w:rsid w:val="1F1C0DD2"/>
    <w:rsid w:val="1F2B7B1C"/>
    <w:rsid w:val="1F941997"/>
    <w:rsid w:val="1F9423A5"/>
    <w:rsid w:val="1F9574BD"/>
    <w:rsid w:val="1FB75686"/>
    <w:rsid w:val="1FF440D0"/>
    <w:rsid w:val="20090A52"/>
    <w:rsid w:val="20135523"/>
    <w:rsid w:val="202C0E96"/>
    <w:rsid w:val="205F045E"/>
    <w:rsid w:val="207949BD"/>
    <w:rsid w:val="207B79B2"/>
    <w:rsid w:val="20847C5E"/>
    <w:rsid w:val="20875100"/>
    <w:rsid w:val="20CE712B"/>
    <w:rsid w:val="20E13104"/>
    <w:rsid w:val="212A22A0"/>
    <w:rsid w:val="21674E89"/>
    <w:rsid w:val="216B2BCB"/>
    <w:rsid w:val="21861892"/>
    <w:rsid w:val="21BA25A3"/>
    <w:rsid w:val="2203441A"/>
    <w:rsid w:val="222F3BF9"/>
    <w:rsid w:val="22340F21"/>
    <w:rsid w:val="22484CBB"/>
    <w:rsid w:val="22AD4841"/>
    <w:rsid w:val="23263DAC"/>
    <w:rsid w:val="234436D4"/>
    <w:rsid w:val="23EB7FF4"/>
    <w:rsid w:val="23F63A6E"/>
    <w:rsid w:val="24055A18"/>
    <w:rsid w:val="240C0493"/>
    <w:rsid w:val="243D6053"/>
    <w:rsid w:val="2446347C"/>
    <w:rsid w:val="24861743"/>
    <w:rsid w:val="248A3369"/>
    <w:rsid w:val="24A73F4E"/>
    <w:rsid w:val="24BE74B6"/>
    <w:rsid w:val="25315EDA"/>
    <w:rsid w:val="25481BC4"/>
    <w:rsid w:val="25484AD6"/>
    <w:rsid w:val="256B13EC"/>
    <w:rsid w:val="25764F02"/>
    <w:rsid w:val="258B0449"/>
    <w:rsid w:val="25A40AC9"/>
    <w:rsid w:val="25B4719C"/>
    <w:rsid w:val="25C91C6F"/>
    <w:rsid w:val="263A529C"/>
    <w:rsid w:val="265E2FE9"/>
    <w:rsid w:val="26C80178"/>
    <w:rsid w:val="26D97A91"/>
    <w:rsid w:val="26F96584"/>
    <w:rsid w:val="275950FA"/>
    <w:rsid w:val="279779AD"/>
    <w:rsid w:val="27A03607"/>
    <w:rsid w:val="284A071E"/>
    <w:rsid w:val="28577130"/>
    <w:rsid w:val="285F4B0C"/>
    <w:rsid w:val="28844573"/>
    <w:rsid w:val="28B22E8E"/>
    <w:rsid w:val="28BD7A0E"/>
    <w:rsid w:val="29044F3B"/>
    <w:rsid w:val="293B7327"/>
    <w:rsid w:val="29411394"/>
    <w:rsid w:val="297E0FBD"/>
    <w:rsid w:val="29B1637A"/>
    <w:rsid w:val="29C00EFB"/>
    <w:rsid w:val="29DE4583"/>
    <w:rsid w:val="2A135A49"/>
    <w:rsid w:val="2A306760"/>
    <w:rsid w:val="2A3717F5"/>
    <w:rsid w:val="2A846AAC"/>
    <w:rsid w:val="2A8B3F2C"/>
    <w:rsid w:val="2B006133"/>
    <w:rsid w:val="2B080FA1"/>
    <w:rsid w:val="2B79318F"/>
    <w:rsid w:val="2B7C0664"/>
    <w:rsid w:val="2BC74EA2"/>
    <w:rsid w:val="2BCF0B6A"/>
    <w:rsid w:val="2C025EDA"/>
    <w:rsid w:val="2C2422F5"/>
    <w:rsid w:val="2C284298"/>
    <w:rsid w:val="2C430D18"/>
    <w:rsid w:val="2C8C1B5D"/>
    <w:rsid w:val="2CA90A4C"/>
    <w:rsid w:val="2CEA52EC"/>
    <w:rsid w:val="2D21476D"/>
    <w:rsid w:val="2D962D7E"/>
    <w:rsid w:val="2DA32E56"/>
    <w:rsid w:val="2DA729BC"/>
    <w:rsid w:val="2DAC07F4"/>
    <w:rsid w:val="2DAC24D8"/>
    <w:rsid w:val="2DD3368B"/>
    <w:rsid w:val="2DEA65C2"/>
    <w:rsid w:val="2E312AA7"/>
    <w:rsid w:val="2E8E7FF2"/>
    <w:rsid w:val="2E9D0BC1"/>
    <w:rsid w:val="2EB31AE3"/>
    <w:rsid w:val="2EE01E37"/>
    <w:rsid w:val="2F3F6949"/>
    <w:rsid w:val="2F4D01E2"/>
    <w:rsid w:val="2F5A7DDB"/>
    <w:rsid w:val="2FC40D95"/>
    <w:rsid w:val="2FE2747B"/>
    <w:rsid w:val="300266FE"/>
    <w:rsid w:val="30197C97"/>
    <w:rsid w:val="301D1535"/>
    <w:rsid w:val="30770B11"/>
    <w:rsid w:val="30797EAF"/>
    <w:rsid w:val="30A05CC2"/>
    <w:rsid w:val="30AD0B0B"/>
    <w:rsid w:val="30DF4595"/>
    <w:rsid w:val="30F009F7"/>
    <w:rsid w:val="30F40EC3"/>
    <w:rsid w:val="312863E3"/>
    <w:rsid w:val="31554CFE"/>
    <w:rsid w:val="31B71515"/>
    <w:rsid w:val="31B77767"/>
    <w:rsid w:val="31C205E6"/>
    <w:rsid w:val="31D7337D"/>
    <w:rsid w:val="31E03171"/>
    <w:rsid w:val="31F03C25"/>
    <w:rsid w:val="31F6203D"/>
    <w:rsid w:val="32085E9C"/>
    <w:rsid w:val="323961A8"/>
    <w:rsid w:val="323B2146"/>
    <w:rsid w:val="32803FFD"/>
    <w:rsid w:val="328402AE"/>
    <w:rsid w:val="32C103CC"/>
    <w:rsid w:val="32D135B9"/>
    <w:rsid w:val="334868C9"/>
    <w:rsid w:val="336D3922"/>
    <w:rsid w:val="337E3C89"/>
    <w:rsid w:val="33A67A93"/>
    <w:rsid w:val="33B118D1"/>
    <w:rsid w:val="33C148CD"/>
    <w:rsid w:val="33C153B1"/>
    <w:rsid w:val="341C6707"/>
    <w:rsid w:val="34311A53"/>
    <w:rsid w:val="343E0B89"/>
    <w:rsid w:val="344E11CA"/>
    <w:rsid w:val="34A63FA1"/>
    <w:rsid w:val="34B54432"/>
    <w:rsid w:val="34BD32E6"/>
    <w:rsid w:val="34D643A8"/>
    <w:rsid w:val="34D72F2E"/>
    <w:rsid w:val="34EB5AAA"/>
    <w:rsid w:val="351C000D"/>
    <w:rsid w:val="35753BC1"/>
    <w:rsid w:val="35843E04"/>
    <w:rsid w:val="358904A5"/>
    <w:rsid w:val="359F0C3E"/>
    <w:rsid w:val="35C25D5B"/>
    <w:rsid w:val="35E47CB7"/>
    <w:rsid w:val="35ED10F0"/>
    <w:rsid w:val="364F013B"/>
    <w:rsid w:val="36633A19"/>
    <w:rsid w:val="368921BF"/>
    <w:rsid w:val="36F02096"/>
    <w:rsid w:val="370378DF"/>
    <w:rsid w:val="372238D5"/>
    <w:rsid w:val="37233CBB"/>
    <w:rsid w:val="37A11CD2"/>
    <w:rsid w:val="37B3604B"/>
    <w:rsid w:val="383E473E"/>
    <w:rsid w:val="384525E8"/>
    <w:rsid w:val="385C16D4"/>
    <w:rsid w:val="38622787"/>
    <w:rsid w:val="386F48F8"/>
    <w:rsid w:val="38877A3A"/>
    <w:rsid w:val="38957A54"/>
    <w:rsid w:val="39347BED"/>
    <w:rsid w:val="39504729"/>
    <w:rsid w:val="396C52DB"/>
    <w:rsid w:val="39783C80"/>
    <w:rsid w:val="398A48B4"/>
    <w:rsid w:val="3A4848AA"/>
    <w:rsid w:val="3A4C35B7"/>
    <w:rsid w:val="3A5A3BAD"/>
    <w:rsid w:val="3A5A3DE1"/>
    <w:rsid w:val="3AC357A8"/>
    <w:rsid w:val="3AE570F3"/>
    <w:rsid w:val="3B021931"/>
    <w:rsid w:val="3B070BFE"/>
    <w:rsid w:val="3B1D688D"/>
    <w:rsid w:val="3B5C65C0"/>
    <w:rsid w:val="3B62094D"/>
    <w:rsid w:val="3B756A28"/>
    <w:rsid w:val="3BA760B0"/>
    <w:rsid w:val="3BB54B82"/>
    <w:rsid w:val="3BE236C8"/>
    <w:rsid w:val="3BFE7A30"/>
    <w:rsid w:val="3C026FB5"/>
    <w:rsid w:val="3C292AD9"/>
    <w:rsid w:val="3C3B6FA3"/>
    <w:rsid w:val="3C406CD7"/>
    <w:rsid w:val="3CFE5DA8"/>
    <w:rsid w:val="3D194B5E"/>
    <w:rsid w:val="3D361E88"/>
    <w:rsid w:val="3D3B3D4E"/>
    <w:rsid w:val="3D747C3E"/>
    <w:rsid w:val="3DA56980"/>
    <w:rsid w:val="3DA9265A"/>
    <w:rsid w:val="3DDE0A60"/>
    <w:rsid w:val="3E0B1D57"/>
    <w:rsid w:val="3E191864"/>
    <w:rsid w:val="3E740EBA"/>
    <w:rsid w:val="3E9675F7"/>
    <w:rsid w:val="3E976956"/>
    <w:rsid w:val="3EAF3D28"/>
    <w:rsid w:val="3EC13D03"/>
    <w:rsid w:val="3EE43EAF"/>
    <w:rsid w:val="3F253F62"/>
    <w:rsid w:val="3F2D66FA"/>
    <w:rsid w:val="3F643F42"/>
    <w:rsid w:val="3FB05F21"/>
    <w:rsid w:val="40161AFD"/>
    <w:rsid w:val="404C3770"/>
    <w:rsid w:val="409A068D"/>
    <w:rsid w:val="40A86BF9"/>
    <w:rsid w:val="40B32E0C"/>
    <w:rsid w:val="40F77B80"/>
    <w:rsid w:val="411C75E7"/>
    <w:rsid w:val="412A3AB2"/>
    <w:rsid w:val="413E130B"/>
    <w:rsid w:val="416D1BF0"/>
    <w:rsid w:val="4176473F"/>
    <w:rsid w:val="42336996"/>
    <w:rsid w:val="426D71DF"/>
    <w:rsid w:val="427F1BDB"/>
    <w:rsid w:val="429414E2"/>
    <w:rsid w:val="42AC3521"/>
    <w:rsid w:val="42B705DC"/>
    <w:rsid w:val="42C41CE4"/>
    <w:rsid w:val="42C96C11"/>
    <w:rsid w:val="42CD0B98"/>
    <w:rsid w:val="42E12896"/>
    <w:rsid w:val="42F84B44"/>
    <w:rsid w:val="431E1A0D"/>
    <w:rsid w:val="43263179"/>
    <w:rsid w:val="433A2F68"/>
    <w:rsid w:val="43633310"/>
    <w:rsid w:val="43672D9B"/>
    <w:rsid w:val="43AB02A9"/>
    <w:rsid w:val="43BF2FC4"/>
    <w:rsid w:val="43DB5537"/>
    <w:rsid w:val="440003C7"/>
    <w:rsid w:val="44150A49"/>
    <w:rsid w:val="44652ADD"/>
    <w:rsid w:val="446F30BB"/>
    <w:rsid w:val="44B318C2"/>
    <w:rsid w:val="44B71B00"/>
    <w:rsid w:val="44C77869"/>
    <w:rsid w:val="44E344FE"/>
    <w:rsid w:val="44E405C6"/>
    <w:rsid w:val="44E46DD3"/>
    <w:rsid w:val="45010FCD"/>
    <w:rsid w:val="452E7E15"/>
    <w:rsid w:val="454C30EE"/>
    <w:rsid w:val="458D2861"/>
    <w:rsid w:val="45CA4529"/>
    <w:rsid w:val="45E05087"/>
    <w:rsid w:val="463B4CA9"/>
    <w:rsid w:val="465E7D59"/>
    <w:rsid w:val="468B4FF2"/>
    <w:rsid w:val="4713141D"/>
    <w:rsid w:val="47576607"/>
    <w:rsid w:val="47665F50"/>
    <w:rsid w:val="476D4662"/>
    <w:rsid w:val="47A60A55"/>
    <w:rsid w:val="47CE2EEB"/>
    <w:rsid w:val="47DB78B4"/>
    <w:rsid w:val="47F92762"/>
    <w:rsid w:val="481D7ECC"/>
    <w:rsid w:val="484E4AD3"/>
    <w:rsid w:val="486579C4"/>
    <w:rsid w:val="487601B6"/>
    <w:rsid w:val="48836214"/>
    <w:rsid w:val="48A87329"/>
    <w:rsid w:val="48BD520B"/>
    <w:rsid w:val="48C742DC"/>
    <w:rsid w:val="48DA5C29"/>
    <w:rsid w:val="48E46C3C"/>
    <w:rsid w:val="48EE3262"/>
    <w:rsid w:val="48F21359"/>
    <w:rsid w:val="491312CF"/>
    <w:rsid w:val="491A0250"/>
    <w:rsid w:val="491A265E"/>
    <w:rsid w:val="493556E9"/>
    <w:rsid w:val="49417559"/>
    <w:rsid w:val="496634D6"/>
    <w:rsid w:val="496E539E"/>
    <w:rsid w:val="497A134E"/>
    <w:rsid w:val="49DE7B2F"/>
    <w:rsid w:val="4A130317"/>
    <w:rsid w:val="4A595408"/>
    <w:rsid w:val="4A630034"/>
    <w:rsid w:val="4A7F44BF"/>
    <w:rsid w:val="4AAE4706"/>
    <w:rsid w:val="4AB3161E"/>
    <w:rsid w:val="4AF0078E"/>
    <w:rsid w:val="4B6A629C"/>
    <w:rsid w:val="4B736055"/>
    <w:rsid w:val="4B771FE9"/>
    <w:rsid w:val="4BAD5A0B"/>
    <w:rsid w:val="4BBA4A22"/>
    <w:rsid w:val="4BC33BC3"/>
    <w:rsid w:val="4C19567B"/>
    <w:rsid w:val="4C307098"/>
    <w:rsid w:val="4C5B0FC3"/>
    <w:rsid w:val="4C6205A3"/>
    <w:rsid w:val="4C6C1640"/>
    <w:rsid w:val="4C6D53F7"/>
    <w:rsid w:val="4CC72AFC"/>
    <w:rsid w:val="4CCA6149"/>
    <w:rsid w:val="4CE75737"/>
    <w:rsid w:val="4D0C49B3"/>
    <w:rsid w:val="4D142CA3"/>
    <w:rsid w:val="4D4C3002"/>
    <w:rsid w:val="4D711E75"/>
    <w:rsid w:val="4D9135BC"/>
    <w:rsid w:val="4D9C7AE5"/>
    <w:rsid w:val="4DB36B07"/>
    <w:rsid w:val="4DD35754"/>
    <w:rsid w:val="4DF07E31"/>
    <w:rsid w:val="4DFE42FC"/>
    <w:rsid w:val="4E026FAC"/>
    <w:rsid w:val="4E0338CF"/>
    <w:rsid w:val="4E3663F5"/>
    <w:rsid w:val="4E4F6905"/>
    <w:rsid w:val="4E6E59F1"/>
    <w:rsid w:val="4EB250E6"/>
    <w:rsid w:val="4ED844D1"/>
    <w:rsid w:val="4F522A50"/>
    <w:rsid w:val="4F535C7C"/>
    <w:rsid w:val="4FA3557F"/>
    <w:rsid w:val="4FB10300"/>
    <w:rsid w:val="4FFD70F6"/>
    <w:rsid w:val="50035737"/>
    <w:rsid w:val="502A23CF"/>
    <w:rsid w:val="505E0E53"/>
    <w:rsid w:val="50836D3A"/>
    <w:rsid w:val="50CC248F"/>
    <w:rsid w:val="51051E45"/>
    <w:rsid w:val="511300BE"/>
    <w:rsid w:val="51136310"/>
    <w:rsid w:val="5115353E"/>
    <w:rsid w:val="511F2F07"/>
    <w:rsid w:val="51777EA8"/>
    <w:rsid w:val="51E23F34"/>
    <w:rsid w:val="51F3271C"/>
    <w:rsid w:val="52234DE2"/>
    <w:rsid w:val="52525E98"/>
    <w:rsid w:val="528635C3"/>
    <w:rsid w:val="52BE22AC"/>
    <w:rsid w:val="52FA70A2"/>
    <w:rsid w:val="531E0F9C"/>
    <w:rsid w:val="5379560D"/>
    <w:rsid w:val="5391176E"/>
    <w:rsid w:val="5395449C"/>
    <w:rsid w:val="53A21BCD"/>
    <w:rsid w:val="53A414A2"/>
    <w:rsid w:val="53DD3EAD"/>
    <w:rsid w:val="541E3C98"/>
    <w:rsid w:val="54444A33"/>
    <w:rsid w:val="545E3D46"/>
    <w:rsid w:val="546102C2"/>
    <w:rsid w:val="54874210"/>
    <w:rsid w:val="54947768"/>
    <w:rsid w:val="549C661D"/>
    <w:rsid w:val="54FB4AC1"/>
    <w:rsid w:val="55156A6A"/>
    <w:rsid w:val="556C4241"/>
    <w:rsid w:val="557F21C6"/>
    <w:rsid w:val="55810898"/>
    <w:rsid w:val="55850549"/>
    <w:rsid w:val="55A97243"/>
    <w:rsid w:val="55B300C2"/>
    <w:rsid w:val="55B84AE1"/>
    <w:rsid w:val="55BD684B"/>
    <w:rsid w:val="55C90C49"/>
    <w:rsid w:val="55DF4A13"/>
    <w:rsid w:val="561A0231"/>
    <w:rsid w:val="56893008"/>
    <w:rsid w:val="56AB0D99"/>
    <w:rsid w:val="56DA167E"/>
    <w:rsid w:val="57236B81"/>
    <w:rsid w:val="572B1585"/>
    <w:rsid w:val="5750309F"/>
    <w:rsid w:val="576C3611"/>
    <w:rsid w:val="57816473"/>
    <w:rsid w:val="578A0E0C"/>
    <w:rsid w:val="57D86D1A"/>
    <w:rsid w:val="58223211"/>
    <w:rsid w:val="583A53BC"/>
    <w:rsid w:val="583C7DBD"/>
    <w:rsid w:val="58935F89"/>
    <w:rsid w:val="589D530F"/>
    <w:rsid w:val="591B0458"/>
    <w:rsid w:val="597B5AB0"/>
    <w:rsid w:val="599975CF"/>
    <w:rsid w:val="59A85CAD"/>
    <w:rsid w:val="59B51811"/>
    <w:rsid w:val="59B51AB9"/>
    <w:rsid w:val="59D37E22"/>
    <w:rsid w:val="5A2049B9"/>
    <w:rsid w:val="5A2C46F1"/>
    <w:rsid w:val="5A6265D0"/>
    <w:rsid w:val="5A8A1539"/>
    <w:rsid w:val="5AC42429"/>
    <w:rsid w:val="5B021F46"/>
    <w:rsid w:val="5B3E171E"/>
    <w:rsid w:val="5B4672E2"/>
    <w:rsid w:val="5BD76792"/>
    <w:rsid w:val="5C1D3942"/>
    <w:rsid w:val="5C853E3A"/>
    <w:rsid w:val="5D463B67"/>
    <w:rsid w:val="5D965750"/>
    <w:rsid w:val="5DB1138B"/>
    <w:rsid w:val="5DB21FF4"/>
    <w:rsid w:val="5DD94777"/>
    <w:rsid w:val="5E2330CF"/>
    <w:rsid w:val="5E8D2F3A"/>
    <w:rsid w:val="5EAA7408"/>
    <w:rsid w:val="5EB17168"/>
    <w:rsid w:val="5EBD3D5F"/>
    <w:rsid w:val="5EC92704"/>
    <w:rsid w:val="5ED846F5"/>
    <w:rsid w:val="5EEB4C16"/>
    <w:rsid w:val="5F286671"/>
    <w:rsid w:val="5F7306B2"/>
    <w:rsid w:val="5F8E5E0C"/>
    <w:rsid w:val="5F9E73D2"/>
    <w:rsid w:val="5FDA0B0D"/>
    <w:rsid w:val="601E266E"/>
    <w:rsid w:val="603A596D"/>
    <w:rsid w:val="61412A26"/>
    <w:rsid w:val="614E5143"/>
    <w:rsid w:val="614F76ED"/>
    <w:rsid w:val="61565DA5"/>
    <w:rsid w:val="61682BD1"/>
    <w:rsid w:val="61E1195B"/>
    <w:rsid w:val="620F082D"/>
    <w:rsid w:val="62157A0E"/>
    <w:rsid w:val="625014B8"/>
    <w:rsid w:val="62A25942"/>
    <w:rsid w:val="62CA6A4B"/>
    <w:rsid w:val="62CF3C30"/>
    <w:rsid w:val="62FE6A07"/>
    <w:rsid w:val="63155F18"/>
    <w:rsid w:val="636F4BBF"/>
    <w:rsid w:val="63732C3E"/>
    <w:rsid w:val="63CB2A7A"/>
    <w:rsid w:val="64072EA8"/>
    <w:rsid w:val="64397877"/>
    <w:rsid w:val="645A0D47"/>
    <w:rsid w:val="645E744B"/>
    <w:rsid w:val="648C2404"/>
    <w:rsid w:val="64D94D17"/>
    <w:rsid w:val="650D10C7"/>
    <w:rsid w:val="651B6938"/>
    <w:rsid w:val="652561BA"/>
    <w:rsid w:val="654924EB"/>
    <w:rsid w:val="65495AA8"/>
    <w:rsid w:val="659D04F7"/>
    <w:rsid w:val="65E25E59"/>
    <w:rsid w:val="65E26C03"/>
    <w:rsid w:val="65ED6CD8"/>
    <w:rsid w:val="65EF7853"/>
    <w:rsid w:val="66272FDA"/>
    <w:rsid w:val="662D3578"/>
    <w:rsid w:val="664743D6"/>
    <w:rsid w:val="66540B05"/>
    <w:rsid w:val="667A38E1"/>
    <w:rsid w:val="667D3E63"/>
    <w:rsid w:val="66976C09"/>
    <w:rsid w:val="66AF785A"/>
    <w:rsid w:val="66F928BE"/>
    <w:rsid w:val="671E4C82"/>
    <w:rsid w:val="672506F4"/>
    <w:rsid w:val="672F4AA9"/>
    <w:rsid w:val="67A6164C"/>
    <w:rsid w:val="67A77164"/>
    <w:rsid w:val="67B04461"/>
    <w:rsid w:val="67BC3595"/>
    <w:rsid w:val="67C65A33"/>
    <w:rsid w:val="67D626B3"/>
    <w:rsid w:val="67DF08A2"/>
    <w:rsid w:val="68112A26"/>
    <w:rsid w:val="6817628E"/>
    <w:rsid w:val="681F0A3D"/>
    <w:rsid w:val="685663DB"/>
    <w:rsid w:val="685905AC"/>
    <w:rsid w:val="685D28B6"/>
    <w:rsid w:val="6864524C"/>
    <w:rsid w:val="687436E1"/>
    <w:rsid w:val="687440BF"/>
    <w:rsid w:val="68DD59E6"/>
    <w:rsid w:val="690802CD"/>
    <w:rsid w:val="69201173"/>
    <w:rsid w:val="694412BF"/>
    <w:rsid w:val="69670B4F"/>
    <w:rsid w:val="69670F5A"/>
    <w:rsid w:val="69674FF3"/>
    <w:rsid w:val="6A2A6ABF"/>
    <w:rsid w:val="6A301889"/>
    <w:rsid w:val="6A425119"/>
    <w:rsid w:val="6A8D1F67"/>
    <w:rsid w:val="6AB01D87"/>
    <w:rsid w:val="6AC326FD"/>
    <w:rsid w:val="6B144D07"/>
    <w:rsid w:val="6B382BEA"/>
    <w:rsid w:val="6B792DBC"/>
    <w:rsid w:val="6BAA11C7"/>
    <w:rsid w:val="6BC06C3D"/>
    <w:rsid w:val="6BDC33EC"/>
    <w:rsid w:val="6BE93B80"/>
    <w:rsid w:val="6C1937D6"/>
    <w:rsid w:val="6C1F1BB5"/>
    <w:rsid w:val="6C26230F"/>
    <w:rsid w:val="6C2D7F56"/>
    <w:rsid w:val="6C987088"/>
    <w:rsid w:val="6CF64BCA"/>
    <w:rsid w:val="6D0A63C2"/>
    <w:rsid w:val="6D0B6E51"/>
    <w:rsid w:val="6D1973C6"/>
    <w:rsid w:val="6D233C99"/>
    <w:rsid w:val="6D401DE3"/>
    <w:rsid w:val="6D673814"/>
    <w:rsid w:val="6DA86476"/>
    <w:rsid w:val="6DC80810"/>
    <w:rsid w:val="6E331948"/>
    <w:rsid w:val="6E5B0FEF"/>
    <w:rsid w:val="6E62222D"/>
    <w:rsid w:val="6E906D9A"/>
    <w:rsid w:val="6E985C4F"/>
    <w:rsid w:val="6EDA70E3"/>
    <w:rsid w:val="6EE95E6E"/>
    <w:rsid w:val="6EF972BA"/>
    <w:rsid w:val="6F125A01"/>
    <w:rsid w:val="6F131EFD"/>
    <w:rsid w:val="6F2E3EBD"/>
    <w:rsid w:val="6F3015CD"/>
    <w:rsid w:val="6F4D3A2E"/>
    <w:rsid w:val="6F974134"/>
    <w:rsid w:val="6FC62F22"/>
    <w:rsid w:val="6FE868F7"/>
    <w:rsid w:val="6FFED7E2"/>
    <w:rsid w:val="700A492A"/>
    <w:rsid w:val="7013414A"/>
    <w:rsid w:val="7056191E"/>
    <w:rsid w:val="7057382B"/>
    <w:rsid w:val="70787AE6"/>
    <w:rsid w:val="70A95EF1"/>
    <w:rsid w:val="70AE175A"/>
    <w:rsid w:val="70BA00FF"/>
    <w:rsid w:val="70BF7C96"/>
    <w:rsid w:val="71100B0B"/>
    <w:rsid w:val="71153587"/>
    <w:rsid w:val="71445C1A"/>
    <w:rsid w:val="7169742F"/>
    <w:rsid w:val="71E34ABE"/>
    <w:rsid w:val="72055C6C"/>
    <w:rsid w:val="722515A8"/>
    <w:rsid w:val="7225310B"/>
    <w:rsid w:val="722B1BC5"/>
    <w:rsid w:val="722F25E4"/>
    <w:rsid w:val="72943D56"/>
    <w:rsid w:val="73075A51"/>
    <w:rsid w:val="73221F8B"/>
    <w:rsid w:val="733E7825"/>
    <w:rsid w:val="73543153"/>
    <w:rsid w:val="73686320"/>
    <w:rsid w:val="736C385A"/>
    <w:rsid w:val="73944C37"/>
    <w:rsid w:val="73C92407"/>
    <w:rsid w:val="74136E7E"/>
    <w:rsid w:val="74215C4D"/>
    <w:rsid w:val="74485E99"/>
    <w:rsid w:val="74764C84"/>
    <w:rsid w:val="74CE1834"/>
    <w:rsid w:val="7564688B"/>
    <w:rsid w:val="75A1363B"/>
    <w:rsid w:val="75F45E61"/>
    <w:rsid w:val="75F53987"/>
    <w:rsid w:val="76045978"/>
    <w:rsid w:val="76472434"/>
    <w:rsid w:val="76650B0D"/>
    <w:rsid w:val="76764AC8"/>
    <w:rsid w:val="76992564"/>
    <w:rsid w:val="76EE4427"/>
    <w:rsid w:val="76FB321F"/>
    <w:rsid w:val="77203ECB"/>
    <w:rsid w:val="77297D8C"/>
    <w:rsid w:val="77356731"/>
    <w:rsid w:val="774921DC"/>
    <w:rsid w:val="776C5705"/>
    <w:rsid w:val="77AF0034"/>
    <w:rsid w:val="785802B2"/>
    <w:rsid w:val="788A11DE"/>
    <w:rsid w:val="78BB2436"/>
    <w:rsid w:val="79902CB1"/>
    <w:rsid w:val="79A61692"/>
    <w:rsid w:val="79DA35C0"/>
    <w:rsid w:val="79F679A6"/>
    <w:rsid w:val="7A0C0BCA"/>
    <w:rsid w:val="7A326DE7"/>
    <w:rsid w:val="7A5D1076"/>
    <w:rsid w:val="7AA02113"/>
    <w:rsid w:val="7AA423DF"/>
    <w:rsid w:val="7B16294B"/>
    <w:rsid w:val="7B851309"/>
    <w:rsid w:val="7BA16462"/>
    <w:rsid w:val="7BA63517"/>
    <w:rsid w:val="7BB9446E"/>
    <w:rsid w:val="7BDC696E"/>
    <w:rsid w:val="7BF736E4"/>
    <w:rsid w:val="7C2D0283"/>
    <w:rsid w:val="7C657C92"/>
    <w:rsid w:val="7C750F13"/>
    <w:rsid w:val="7C847D40"/>
    <w:rsid w:val="7CA51C63"/>
    <w:rsid w:val="7D33726F"/>
    <w:rsid w:val="7D4A641C"/>
    <w:rsid w:val="7D5E0064"/>
    <w:rsid w:val="7DB14637"/>
    <w:rsid w:val="7DF424B5"/>
    <w:rsid w:val="7E0724A9"/>
    <w:rsid w:val="7E191883"/>
    <w:rsid w:val="7E7816B1"/>
    <w:rsid w:val="7E80638A"/>
    <w:rsid w:val="7E961339"/>
    <w:rsid w:val="7E9755DB"/>
    <w:rsid w:val="7ED06D3F"/>
    <w:rsid w:val="7EE76BBC"/>
    <w:rsid w:val="7EF50554"/>
    <w:rsid w:val="7F804401"/>
    <w:rsid w:val="7F974FDA"/>
    <w:rsid w:val="7FD840FD"/>
    <w:rsid w:val="7FF66F52"/>
    <w:rsid w:val="7FFD5912"/>
    <w:rsid w:val="BFDE7D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 w:semiHidden="0" w:name="heading 2"/>
    <w:lsdException w:qFormat="1" w:unhideWhenUsed="0" w:uiPriority="99" w:semiHidden="0" w:name="heading 3"/>
    <w:lsdException w:qFormat="1" w:unhideWhenUsed="0" w:uiPriority="99" w:semiHidden="0" w:name="heading 4" w:locked="1"/>
    <w:lsdException w:qFormat="1" w:unhideWhenUsed="0" w:uiPriority="99" w:semiHidden="0" w:name="heading 5" w:locked="1"/>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qFormat="1" w:unhideWhenUsed="0" w:uiPriority="0" w:semiHidden="0" w:name="Body Text Indent 3" w:locked="1"/>
    <w:lsdException w:uiPriority="99" w:name="Block Text" w:locked="1"/>
    <w:lsdException w:qFormat="1" w:uiPriority="99" w:semiHidden="0" w:name="Hyperlink" w:locked="1"/>
    <w:lsdException w:qFormat="1" w:uiPriority="99" w:semiHidden="0"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iPriority="99" w:semiHidden="0" w:name="Normal (Web)" w:locked="1"/>
    <w:lsdException w:qFormat="1" w:uiPriority="99" w:semiHidden="0" w:name="HTML Acronym" w:locked="1"/>
    <w:lsdException w:uiPriority="99" w:name="HTML Address" w:locked="1"/>
    <w:lsdException w:qFormat="1" w:uiPriority="99" w:semiHidden="0" w:name="HTML Cite" w:locked="1"/>
    <w:lsdException w:qFormat="1" w:uiPriority="99" w:semiHidden="0" w:name="HTML Code" w:locked="1"/>
    <w:lsdException w:qFormat="1" w:uiPriority="99" w:semiHidden="0" w:name="HTML Definition" w:locked="1"/>
    <w:lsdException w:qFormat="1" w:uiPriority="99" w:semiHidden="0" w:name="HTML Keyboard" w:locked="1"/>
    <w:lsdException w:qFormat="1" w:uiPriority="99" w:semiHidden="0" w:name="HTML Preformatted" w:locked="1"/>
    <w:lsdException w:qFormat="1" w:uiPriority="99" w:semiHidden="0" w:name="HTML Sample" w:locked="1"/>
    <w:lsdException w:qFormat="1" w:uiPriority="99" w:semiHidden="0" w:name="HTML Typewriter" w:locked="1"/>
    <w:lsdException w:qFormat="1" w:uiPriority="99" w:semiHidden="0"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43"/>
    <w:qFormat/>
    <w:locked/>
    <w:uiPriority w:val="99"/>
    <w:pPr>
      <w:keepNext/>
      <w:keepLines/>
      <w:spacing w:line="578" w:lineRule="auto"/>
      <w:outlineLvl w:val="0"/>
    </w:pPr>
    <w:rPr>
      <w:b/>
      <w:bCs/>
      <w:kern w:val="44"/>
      <w:sz w:val="44"/>
      <w:szCs w:val="44"/>
    </w:rPr>
  </w:style>
  <w:style w:type="paragraph" w:styleId="6">
    <w:name w:val="heading 2"/>
    <w:basedOn w:val="1"/>
    <w:next w:val="1"/>
    <w:qFormat/>
    <w:uiPriority w:val="9"/>
    <w:pPr>
      <w:autoSpaceDE w:val="0"/>
      <w:autoSpaceDN w:val="0"/>
      <w:adjustRightInd w:val="0"/>
      <w:snapToGrid w:val="0"/>
      <w:spacing w:beforeLines="50" w:afterLines="50" w:line="440" w:lineRule="exact"/>
      <w:jc w:val="left"/>
      <w:outlineLvl w:val="1"/>
    </w:pPr>
    <w:rPr>
      <w:rFonts w:ascii="Arial" w:hAnsi="Arial"/>
      <w:b/>
      <w:sz w:val="32"/>
      <w:szCs w:val="20"/>
    </w:rPr>
  </w:style>
  <w:style w:type="paragraph" w:styleId="7">
    <w:name w:val="heading 3"/>
    <w:basedOn w:val="1"/>
    <w:next w:val="1"/>
    <w:link w:val="44"/>
    <w:qFormat/>
    <w:uiPriority w:val="99"/>
    <w:pPr>
      <w:keepNext/>
      <w:keepLines/>
      <w:spacing w:line="413" w:lineRule="auto"/>
      <w:outlineLvl w:val="2"/>
    </w:pPr>
    <w:rPr>
      <w:b/>
      <w:bCs/>
      <w:sz w:val="32"/>
      <w:szCs w:val="32"/>
    </w:rPr>
  </w:style>
  <w:style w:type="paragraph" w:styleId="8">
    <w:name w:val="heading 4"/>
    <w:basedOn w:val="1"/>
    <w:next w:val="1"/>
    <w:link w:val="45"/>
    <w:qFormat/>
    <w:locked/>
    <w:uiPriority w:val="99"/>
    <w:pPr>
      <w:widowControl/>
      <w:spacing w:beforeAutospacing="1" w:afterAutospacing="1"/>
      <w:jc w:val="left"/>
      <w:outlineLvl w:val="3"/>
    </w:pPr>
    <w:rPr>
      <w:rFonts w:ascii="宋体" w:hAnsi="宋体" w:cs="宋体"/>
      <w:b/>
      <w:bCs/>
      <w:kern w:val="0"/>
      <w:sz w:val="24"/>
      <w:szCs w:val="24"/>
    </w:rPr>
  </w:style>
  <w:style w:type="paragraph" w:styleId="9">
    <w:name w:val="heading 5"/>
    <w:basedOn w:val="1"/>
    <w:next w:val="1"/>
    <w:link w:val="46"/>
    <w:qFormat/>
    <w:locked/>
    <w:uiPriority w:val="99"/>
    <w:pPr>
      <w:widowControl/>
      <w:spacing w:beforeAutospacing="1" w:afterAutospacing="1"/>
      <w:jc w:val="left"/>
      <w:outlineLvl w:val="4"/>
    </w:pPr>
    <w:rPr>
      <w:rFonts w:ascii="宋体" w:hAnsi="宋体" w:cs="宋体"/>
      <w:b/>
      <w:bCs/>
      <w:kern w:val="0"/>
      <w:sz w:val="20"/>
      <w:szCs w:val="20"/>
    </w:rPr>
  </w:style>
  <w:style w:type="character" w:default="1" w:styleId="10">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42"/>
    <w:qFormat/>
    <w:uiPriority w:val="99"/>
    <w:rPr>
      <w:rFonts w:ascii="宋体" w:hAnsi="宋体" w:cs="宋体"/>
      <w:sz w:val="28"/>
      <w:szCs w:val="28"/>
    </w:rPr>
  </w:style>
  <w:style w:type="paragraph" w:styleId="3">
    <w:name w:val="Body Text First Indent"/>
    <w:basedOn w:val="2"/>
    <w:next w:val="4"/>
    <w:qFormat/>
    <w:locked/>
    <w:uiPriority w:val="0"/>
    <w:pPr>
      <w:spacing w:line="360" w:lineRule="auto"/>
      <w:ind w:firstLine="420"/>
    </w:pPr>
    <w:rPr>
      <w:sz w:val="24"/>
    </w:rPr>
  </w:style>
  <w:style w:type="paragraph" w:customStyle="1" w:styleId="4">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paragraph" w:styleId="12">
    <w:name w:val="Balloon Text"/>
    <w:basedOn w:val="1"/>
    <w:link w:val="47"/>
    <w:unhideWhenUsed/>
    <w:qFormat/>
    <w:locked/>
    <w:uiPriority w:val="99"/>
    <w:rPr>
      <w:sz w:val="18"/>
      <w:szCs w:val="18"/>
    </w:rPr>
  </w:style>
  <w:style w:type="paragraph" w:styleId="13">
    <w:name w:val="Body Text Indent"/>
    <w:basedOn w:val="1"/>
    <w:link w:val="48"/>
    <w:qFormat/>
    <w:uiPriority w:val="99"/>
    <w:pPr>
      <w:ind w:firstLine="568" w:firstLineChars="203"/>
    </w:pPr>
    <w:rPr>
      <w:rFonts w:ascii="宋体" w:hAnsi="宋体" w:cs="宋体"/>
      <w:sz w:val="28"/>
      <w:szCs w:val="28"/>
    </w:rPr>
  </w:style>
  <w:style w:type="paragraph" w:styleId="14">
    <w:name w:val="Body Text First Indent 2"/>
    <w:basedOn w:val="13"/>
    <w:qFormat/>
    <w:locked/>
    <w:uiPriority w:val="0"/>
    <w:pPr>
      <w:ind w:firstLine="420" w:firstLineChars="200"/>
    </w:pPr>
  </w:style>
  <w:style w:type="paragraph" w:styleId="15">
    <w:name w:val="Body Text Indent 2"/>
    <w:basedOn w:val="1"/>
    <w:link w:val="49"/>
    <w:qFormat/>
    <w:uiPriority w:val="99"/>
    <w:pPr>
      <w:spacing w:line="480" w:lineRule="auto"/>
      <w:ind w:left="420" w:leftChars="200"/>
    </w:pPr>
  </w:style>
  <w:style w:type="paragraph" w:styleId="16">
    <w:name w:val="Body Text Indent 3"/>
    <w:basedOn w:val="1"/>
    <w:qFormat/>
    <w:locked/>
    <w:uiPriority w:val="0"/>
    <w:pPr>
      <w:spacing w:after="120"/>
      <w:ind w:left="420" w:leftChars="200"/>
    </w:pPr>
    <w:rPr>
      <w:sz w:val="16"/>
    </w:rPr>
  </w:style>
  <w:style w:type="character" w:styleId="17">
    <w:name w:val="annotation reference"/>
    <w:basedOn w:val="10"/>
    <w:semiHidden/>
    <w:qFormat/>
    <w:uiPriority w:val="99"/>
    <w:rPr>
      <w:sz w:val="21"/>
      <w:szCs w:val="21"/>
    </w:rPr>
  </w:style>
  <w:style w:type="paragraph" w:styleId="18">
    <w:name w:val="annotation text"/>
    <w:basedOn w:val="1"/>
    <w:unhideWhenUsed/>
    <w:qFormat/>
    <w:locked/>
    <w:uiPriority w:val="99"/>
    <w:pPr>
      <w:jc w:val="left"/>
    </w:pPr>
  </w:style>
  <w:style w:type="character" w:styleId="19">
    <w:name w:val="Emphasis"/>
    <w:basedOn w:val="10"/>
    <w:qFormat/>
    <w:uiPriority w:val="0"/>
    <w:rPr>
      <w:b/>
      <w:bCs/>
    </w:rPr>
  </w:style>
  <w:style w:type="character" w:styleId="20">
    <w:name w:val="FollowedHyperlink"/>
    <w:basedOn w:val="10"/>
    <w:unhideWhenUsed/>
    <w:qFormat/>
    <w:locked/>
    <w:uiPriority w:val="99"/>
    <w:rPr>
      <w:color w:val="800080"/>
      <w:u w:val="none"/>
    </w:rPr>
  </w:style>
  <w:style w:type="paragraph" w:styleId="21">
    <w:name w:val="footer"/>
    <w:basedOn w:val="1"/>
    <w:link w:val="50"/>
    <w:qFormat/>
    <w:uiPriority w:val="99"/>
    <w:pPr>
      <w:tabs>
        <w:tab w:val="center" w:pos="4153"/>
        <w:tab w:val="right" w:pos="8306"/>
      </w:tabs>
      <w:snapToGrid w:val="0"/>
      <w:jc w:val="left"/>
    </w:pPr>
    <w:rPr>
      <w:sz w:val="18"/>
      <w:szCs w:val="18"/>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character" w:styleId="23">
    <w:name w:val="HTML Acronym"/>
    <w:basedOn w:val="10"/>
    <w:unhideWhenUsed/>
    <w:qFormat/>
    <w:locked/>
    <w:uiPriority w:val="99"/>
  </w:style>
  <w:style w:type="character" w:styleId="24">
    <w:name w:val="HTML Cite"/>
    <w:basedOn w:val="10"/>
    <w:unhideWhenUsed/>
    <w:qFormat/>
    <w:locked/>
    <w:uiPriority w:val="99"/>
  </w:style>
  <w:style w:type="character" w:styleId="25">
    <w:name w:val="HTML Code"/>
    <w:basedOn w:val="10"/>
    <w:unhideWhenUsed/>
    <w:qFormat/>
    <w:locked/>
    <w:uiPriority w:val="99"/>
    <w:rPr>
      <w:rFonts w:hint="default" w:ascii="monospace" w:hAnsi="monospace" w:eastAsia="monospace" w:cs="monospace"/>
      <w:sz w:val="20"/>
    </w:rPr>
  </w:style>
  <w:style w:type="character" w:styleId="26">
    <w:name w:val="HTML Definition"/>
    <w:basedOn w:val="10"/>
    <w:unhideWhenUsed/>
    <w:qFormat/>
    <w:locked/>
    <w:uiPriority w:val="99"/>
  </w:style>
  <w:style w:type="character" w:styleId="27">
    <w:name w:val="HTML Keyboard"/>
    <w:basedOn w:val="10"/>
    <w:unhideWhenUsed/>
    <w:qFormat/>
    <w:locked/>
    <w:uiPriority w:val="99"/>
    <w:rPr>
      <w:rFonts w:ascii="monospace" w:hAnsi="monospace" w:eastAsia="monospace" w:cs="monospace"/>
      <w:sz w:val="20"/>
    </w:rPr>
  </w:style>
  <w:style w:type="paragraph" w:styleId="28">
    <w:name w:val="HTML Preformatted"/>
    <w:basedOn w:val="1"/>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9">
    <w:name w:val="HTML Sample"/>
    <w:basedOn w:val="10"/>
    <w:unhideWhenUsed/>
    <w:qFormat/>
    <w:locked/>
    <w:uiPriority w:val="99"/>
    <w:rPr>
      <w:rFonts w:hint="default" w:ascii="monospace" w:hAnsi="monospace" w:eastAsia="monospace" w:cs="monospace"/>
    </w:rPr>
  </w:style>
  <w:style w:type="character" w:styleId="30">
    <w:name w:val="HTML Typewriter"/>
    <w:basedOn w:val="10"/>
    <w:unhideWhenUsed/>
    <w:qFormat/>
    <w:locked/>
    <w:uiPriority w:val="99"/>
    <w:rPr>
      <w:rFonts w:hint="default" w:ascii="monospace" w:hAnsi="monospace" w:eastAsia="monospace" w:cs="monospace"/>
      <w:sz w:val="20"/>
    </w:rPr>
  </w:style>
  <w:style w:type="character" w:styleId="31">
    <w:name w:val="HTML Variable"/>
    <w:basedOn w:val="10"/>
    <w:unhideWhenUsed/>
    <w:qFormat/>
    <w:locked/>
    <w:uiPriority w:val="99"/>
  </w:style>
  <w:style w:type="character" w:styleId="32">
    <w:name w:val="Hyperlink"/>
    <w:basedOn w:val="10"/>
    <w:unhideWhenUsed/>
    <w:qFormat/>
    <w:locked/>
    <w:uiPriority w:val="99"/>
    <w:rPr>
      <w:color w:val="0000FF"/>
      <w:u w:val="none"/>
    </w:rPr>
  </w:style>
  <w:style w:type="paragraph" w:styleId="33">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34">
    <w:name w:val="Normal Indent"/>
    <w:basedOn w:val="1"/>
    <w:next w:val="1"/>
    <w:qFormat/>
    <w:locked/>
    <w:uiPriority w:val="99"/>
    <w:pPr>
      <w:ind w:firstLine="420" w:firstLineChars="200"/>
    </w:pPr>
  </w:style>
  <w:style w:type="character" w:styleId="35">
    <w:name w:val="page number"/>
    <w:basedOn w:val="10"/>
    <w:qFormat/>
    <w:uiPriority w:val="99"/>
  </w:style>
  <w:style w:type="paragraph" w:styleId="36">
    <w:name w:val="Plain Text"/>
    <w:basedOn w:val="1"/>
    <w:qFormat/>
    <w:locked/>
    <w:uiPriority w:val="0"/>
    <w:rPr>
      <w:rFonts w:ascii="宋体" w:hAnsi="Courier New" w:cs="Courier New"/>
    </w:rPr>
  </w:style>
  <w:style w:type="character" w:styleId="37">
    <w:name w:val="Strong"/>
    <w:basedOn w:val="10"/>
    <w:qFormat/>
    <w:uiPriority w:val="0"/>
    <w:rPr>
      <w:b/>
      <w:bCs/>
    </w:rPr>
  </w:style>
  <w:style w:type="table" w:styleId="38">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9">
    <w:name w:val="Title"/>
    <w:basedOn w:val="1"/>
    <w:next w:val="1"/>
    <w:link w:val="52"/>
    <w:qFormat/>
    <w:uiPriority w:val="99"/>
    <w:pPr>
      <w:widowControl/>
      <w:jc w:val="center"/>
    </w:pPr>
    <w:rPr>
      <w:kern w:val="0"/>
      <w:sz w:val="20"/>
      <w:szCs w:val="20"/>
      <w:u w:val="single"/>
      <w:lang w:eastAsia="en-US"/>
    </w:rPr>
  </w:style>
  <w:style w:type="paragraph" w:styleId="40">
    <w:name w:val="toc 1"/>
    <w:basedOn w:val="1"/>
    <w:next w:val="1"/>
    <w:qFormat/>
    <w:uiPriority w:val="0"/>
  </w:style>
  <w:style w:type="paragraph" w:styleId="41">
    <w:name w:val="toc 2"/>
    <w:basedOn w:val="1"/>
    <w:next w:val="1"/>
    <w:qFormat/>
    <w:uiPriority w:val="0"/>
    <w:pPr>
      <w:ind w:left="420" w:leftChars="200"/>
    </w:pPr>
  </w:style>
  <w:style w:type="character" w:customStyle="1" w:styleId="42">
    <w:name w:val="正文文本 字符"/>
    <w:basedOn w:val="10"/>
    <w:link w:val="2"/>
    <w:semiHidden/>
    <w:qFormat/>
    <w:locked/>
    <w:uiPriority w:val="99"/>
    <w:rPr>
      <w:rFonts w:ascii="Times New Roman" w:hAnsi="Times New Roman" w:cs="Times New Roman"/>
      <w:sz w:val="21"/>
      <w:szCs w:val="21"/>
    </w:rPr>
  </w:style>
  <w:style w:type="character" w:customStyle="1" w:styleId="43">
    <w:name w:val="标题 1 字符"/>
    <w:basedOn w:val="10"/>
    <w:link w:val="5"/>
    <w:qFormat/>
    <w:locked/>
    <w:uiPriority w:val="99"/>
    <w:rPr>
      <w:rFonts w:ascii="Times New Roman" w:hAnsi="Times New Roman" w:cs="Times New Roman"/>
      <w:b/>
      <w:bCs/>
      <w:kern w:val="44"/>
      <w:sz w:val="44"/>
      <w:szCs w:val="44"/>
    </w:rPr>
  </w:style>
  <w:style w:type="character" w:customStyle="1" w:styleId="44">
    <w:name w:val="标题 3 字符"/>
    <w:basedOn w:val="10"/>
    <w:link w:val="7"/>
    <w:semiHidden/>
    <w:qFormat/>
    <w:locked/>
    <w:uiPriority w:val="99"/>
    <w:rPr>
      <w:rFonts w:ascii="Times New Roman" w:hAnsi="Times New Roman" w:cs="Times New Roman"/>
      <w:b/>
      <w:bCs/>
      <w:sz w:val="32"/>
      <w:szCs w:val="32"/>
    </w:rPr>
  </w:style>
  <w:style w:type="character" w:customStyle="1" w:styleId="45">
    <w:name w:val="标题 4 字符"/>
    <w:basedOn w:val="10"/>
    <w:link w:val="8"/>
    <w:semiHidden/>
    <w:qFormat/>
    <w:locked/>
    <w:uiPriority w:val="99"/>
    <w:rPr>
      <w:rFonts w:ascii="Cambria" w:hAnsi="Cambria" w:eastAsia="宋体" w:cs="Cambria"/>
      <w:b/>
      <w:bCs/>
      <w:sz w:val="28"/>
      <w:szCs w:val="28"/>
    </w:rPr>
  </w:style>
  <w:style w:type="character" w:customStyle="1" w:styleId="46">
    <w:name w:val="标题 5 字符"/>
    <w:basedOn w:val="10"/>
    <w:link w:val="9"/>
    <w:semiHidden/>
    <w:qFormat/>
    <w:locked/>
    <w:uiPriority w:val="99"/>
    <w:rPr>
      <w:rFonts w:ascii="Times New Roman" w:hAnsi="Times New Roman" w:cs="Times New Roman"/>
      <w:b/>
      <w:bCs/>
      <w:sz w:val="28"/>
      <w:szCs w:val="28"/>
    </w:rPr>
  </w:style>
  <w:style w:type="character" w:customStyle="1" w:styleId="47">
    <w:name w:val="批注框文本 字符"/>
    <w:basedOn w:val="10"/>
    <w:link w:val="12"/>
    <w:semiHidden/>
    <w:qFormat/>
    <w:uiPriority w:val="99"/>
    <w:rPr>
      <w:kern w:val="2"/>
      <w:sz w:val="18"/>
      <w:szCs w:val="18"/>
    </w:rPr>
  </w:style>
  <w:style w:type="character" w:customStyle="1" w:styleId="48">
    <w:name w:val="正文文本缩进 字符"/>
    <w:basedOn w:val="10"/>
    <w:link w:val="13"/>
    <w:semiHidden/>
    <w:qFormat/>
    <w:locked/>
    <w:uiPriority w:val="99"/>
    <w:rPr>
      <w:rFonts w:ascii="Times New Roman" w:hAnsi="Times New Roman" w:cs="Times New Roman"/>
      <w:sz w:val="21"/>
      <w:szCs w:val="21"/>
    </w:rPr>
  </w:style>
  <w:style w:type="character" w:customStyle="1" w:styleId="49">
    <w:name w:val="正文文本缩进 2 字符"/>
    <w:basedOn w:val="10"/>
    <w:link w:val="15"/>
    <w:semiHidden/>
    <w:qFormat/>
    <w:locked/>
    <w:uiPriority w:val="99"/>
    <w:rPr>
      <w:rFonts w:ascii="Times New Roman" w:hAnsi="Times New Roman" w:cs="Times New Roman"/>
      <w:sz w:val="21"/>
      <w:szCs w:val="21"/>
    </w:rPr>
  </w:style>
  <w:style w:type="character" w:customStyle="1" w:styleId="50">
    <w:name w:val="页脚 字符"/>
    <w:basedOn w:val="10"/>
    <w:link w:val="21"/>
    <w:semiHidden/>
    <w:qFormat/>
    <w:locked/>
    <w:uiPriority w:val="99"/>
    <w:rPr>
      <w:rFonts w:ascii="Times New Roman" w:hAnsi="Times New Roman" w:cs="Times New Roman"/>
      <w:sz w:val="18"/>
      <w:szCs w:val="18"/>
    </w:rPr>
  </w:style>
  <w:style w:type="character" w:customStyle="1" w:styleId="51">
    <w:name w:val="页眉 字符"/>
    <w:basedOn w:val="10"/>
    <w:link w:val="22"/>
    <w:semiHidden/>
    <w:qFormat/>
    <w:locked/>
    <w:uiPriority w:val="99"/>
    <w:rPr>
      <w:rFonts w:ascii="Times New Roman" w:hAnsi="Times New Roman" w:cs="Times New Roman"/>
      <w:sz w:val="18"/>
      <w:szCs w:val="18"/>
    </w:rPr>
  </w:style>
  <w:style w:type="character" w:customStyle="1" w:styleId="52">
    <w:name w:val="标题 字符"/>
    <w:basedOn w:val="10"/>
    <w:link w:val="39"/>
    <w:qFormat/>
    <w:locked/>
    <w:uiPriority w:val="99"/>
    <w:rPr>
      <w:rFonts w:ascii="Cambria" w:hAnsi="Cambria" w:cs="Cambria"/>
      <w:b/>
      <w:bCs/>
      <w:sz w:val="32"/>
      <w:szCs w:val="32"/>
    </w:rPr>
  </w:style>
  <w:style w:type="paragraph" w:customStyle="1" w:styleId="53">
    <w:name w:val="WPSOffice手动目录 1"/>
    <w:qFormat/>
    <w:uiPriority w:val="99"/>
    <w:rPr>
      <w:rFonts w:ascii="Times New Roman" w:hAnsi="Times New Roman" w:eastAsia="宋体" w:cs="Times New Roman"/>
      <w:lang w:val="en-US" w:eastAsia="zh-CN" w:bidi="ar-SA"/>
    </w:rPr>
  </w:style>
  <w:style w:type="paragraph" w:customStyle="1" w:styleId="54">
    <w:name w:val="附件标题-1"/>
    <w:basedOn w:val="1"/>
    <w:qFormat/>
    <w:uiPriority w:val="99"/>
    <w:pPr>
      <w:spacing w:beforeLines="50" w:afterLines="50"/>
      <w:jc w:val="center"/>
    </w:pPr>
    <w:rPr>
      <w:rFonts w:eastAsia="黑体"/>
      <w:sz w:val="32"/>
      <w:szCs w:val="32"/>
    </w:rPr>
  </w:style>
  <w:style w:type="paragraph" w:customStyle="1" w:styleId="55">
    <w:name w:val="TOC 标题1"/>
    <w:basedOn w:val="5"/>
    <w:next w:val="1"/>
    <w:qFormat/>
    <w:uiPriority w:val="99"/>
    <w:pPr>
      <w:widowControl/>
      <w:spacing w:before="480" w:line="276" w:lineRule="auto"/>
      <w:jc w:val="left"/>
      <w:outlineLvl w:val="9"/>
    </w:pPr>
    <w:rPr>
      <w:rFonts w:ascii="Cambria" w:hAnsi="Cambria" w:cs="Cambria"/>
      <w:color w:val="365F91"/>
      <w:kern w:val="0"/>
      <w:sz w:val="28"/>
      <w:szCs w:val="28"/>
    </w:rPr>
  </w:style>
  <w:style w:type="paragraph" w:customStyle="1" w:styleId="56">
    <w:name w:val="列出段落11"/>
    <w:basedOn w:val="1"/>
    <w:qFormat/>
    <w:uiPriority w:val="99"/>
    <w:pPr>
      <w:ind w:firstLine="420" w:firstLineChars="200"/>
    </w:pPr>
    <w:rPr>
      <w:sz w:val="28"/>
      <w:szCs w:val="28"/>
    </w:rPr>
  </w:style>
  <w:style w:type="paragraph" w:customStyle="1" w:styleId="57">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58">
    <w:name w:val="正文文本缩进1"/>
    <w:basedOn w:val="1"/>
    <w:qFormat/>
    <w:uiPriority w:val="0"/>
    <w:pPr>
      <w:ind w:firstLine="360"/>
    </w:pPr>
    <w:rPr>
      <w:sz w:val="28"/>
      <w:szCs w:val="24"/>
    </w:rPr>
  </w:style>
  <w:style w:type="paragraph" w:customStyle="1" w:styleId="59">
    <w:name w:val="列表段落1"/>
    <w:basedOn w:val="1"/>
    <w:qFormat/>
    <w:uiPriority w:val="99"/>
    <w:pPr>
      <w:ind w:firstLine="420" w:firstLineChars="200"/>
      <w:contextualSpacing/>
    </w:pPr>
    <w:rPr>
      <w:sz w:val="28"/>
      <w:szCs w:val="28"/>
    </w:rPr>
  </w:style>
  <w:style w:type="paragraph" w:customStyle="1" w:styleId="60">
    <w:name w:val="列出段落1"/>
    <w:basedOn w:val="1"/>
    <w:qFormat/>
    <w:uiPriority w:val="0"/>
    <w:pPr>
      <w:ind w:firstLine="420" w:firstLineChars="200"/>
    </w:pPr>
  </w:style>
  <w:style w:type="paragraph" w:customStyle="1" w:styleId="61">
    <w:name w:val="Table Text"/>
    <w:basedOn w:val="1"/>
    <w:qFormat/>
    <w:uiPriority w:val="0"/>
    <w:pPr>
      <w:spacing w:before="80" w:after="80"/>
    </w:pPr>
    <w:rPr>
      <w:snapToGrid w:val="0"/>
      <w:kern w:val="0"/>
    </w:rPr>
  </w:style>
  <w:style w:type="paragraph" w:customStyle="1" w:styleId="62">
    <w:name w:val="index 61"/>
    <w:basedOn w:val="1"/>
    <w:next w:val="1"/>
    <w:qFormat/>
    <w:uiPriority w:val="0"/>
    <w:pPr>
      <w:jc w:val="left"/>
    </w:pPr>
    <w:rPr>
      <w:rFonts w:ascii="Times New Roman" w:hAnsi="Times New Roman" w:cs="Times New Roman"/>
    </w:rPr>
  </w:style>
  <w:style w:type="character" w:customStyle="1" w:styleId="63">
    <w:name w:val="font11"/>
    <w:basedOn w:val="10"/>
    <w:qFormat/>
    <w:uiPriority w:val="0"/>
    <w:rPr>
      <w:rFonts w:hint="eastAsia" w:ascii="新宋体" w:hAnsi="新宋体" w:eastAsia="新宋体" w:cs="新宋体"/>
      <w:color w:val="000000"/>
      <w:sz w:val="21"/>
      <w:szCs w:val="21"/>
      <w:u w:val="none"/>
    </w:rPr>
  </w:style>
  <w:style w:type="character" w:customStyle="1" w:styleId="64">
    <w:name w:val="font31"/>
    <w:basedOn w:val="10"/>
    <w:qFormat/>
    <w:uiPriority w:val="0"/>
    <w:rPr>
      <w:rFonts w:hint="eastAsia" w:ascii="新宋体" w:hAnsi="新宋体" w:eastAsia="新宋体" w:cs="新宋体"/>
      <w:b/>
      <w:bCs/>
      <w:color w:val="333333"/>
      <w:sz w:val="21"/>
      <w:szCs w:val="21"/>
      <w:u w:val="none"/>
    </w:rPr>
  </w:style>
  <w:style w:type="paragraph" w:customStyle="1" w:styleId="65">
    <w:name w:val="正文（缩进）"/>
    <w:basedOn w:val="1"/>
    <w:qFormat/>
    <w:uiPriority w:val="0"/>
    <w:pPr>
      <w:spacing w:before="156" w:after="156"/>
      <w:ind w:firstLine="480"/>
    </w:pPr>
    <w:rPr>
      <w:szCs w:val="24"/>
    </w:rPr>
  </w:style>
  <w:style w:type="paragraph" w:styleId="6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10929</Words>
  <Characters>11560</Characters>
  <Lines>1</Lines>
  <Paragraphs>1</Paragraphs>
  <TotalTime>13</TotalTime>
  <ScaleCrop>false</ScaleCrop>
  <LinksUpToDate>false</LinksUpToDate>
  <CharactersWithSpaces>12128</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2023-06-30T18:01:00Z</dcterms:created>
  <dc:creator>敖沐宇</dc:creator>
  <cp:lastModifiedBy>NTKO</cp:lastModifiedBy>
  <dcterms:modified xsi:type="dcterms:W3CDTF">2025-12-24T08:16:51Z</dcterms:modified>
  <dc:title>项目名称：酉粮·中央花园项目亚伸广场至环城路横向通道（K0+00至k0+220）道路施工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0-11.8.2.12195</vt:lpwstr>
  </property>
  <property fmtid="{D5CDD505-2E9C-101B-9397-08002B2CF9AE}" pid="3" name="ICV">
    <vt:lpwstr>FB41744EAF2C42C49C514FEDFE46C410</vt:lpwstr>
  </property>
  <property fmtid="{D5CDD505-2E9C-101B-9397-08002B2CF9AE}" pid="4" name="KSOTemplateDocerSaveRecord">
    <vt:lpwstr>eyJoZGlkIjoiY2RhYzA2NWU3Y2RhZmY2NDllZjIyMDMyMjg5MWRiM2MiLCJ1c2VySWQiOiIxNTkzNDgxNjA0In0=</vt:lpwstr>
  </property>
</Properties>
</file>