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89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  <w:t>重庆储备粮管理集团有限公司彭水分公司</w:t>
      </w:r>
    </w:p>
    <w:p w14:paraId="00C85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w w:val="9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  <w:t>仓储机械设备采购项目询价函</w:t>
      </w:r>
    </w:p>
    <w:p w14:paraId="50F72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4E93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投标人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17AD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我司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拟采购一批</w:t>
      </w:r>
      <w:r>
        <w:rPr>
          <w:rFonts w:hint="eastAsia" w:cs="Times New Roman"/>
          <w:sz w:val="32"/>
          <w:szCs w:val="32"/>
          <w:lang w:val="en-US" w:eastAsia="zh-CN"/>
        </w:rPr>
        <w:t>仓储机械设备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欢迎各潜在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投标人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积极参加报价。现就有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关事项明确如下：</w:t>
      </w:r>
    </w:p>
    <w:p w14:paraId="34ED4A1A">
      <w:pPr>
        <w:numPr>
          <w:ilvl w:val="0"/>
          <w:numId w:val="1"/>
        </w:numPr>
        <w:spacing w:beforeLines="0" w:afterLines="0"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项目名称</w:t>
      </w:r>
    </w:p>
    <w:p w14:paraId="148FEDCB">
      <w:pPr>
        <w:numPr>
          <w:ilvl w:val="0"/>
          <w:numId w:val="0"/>
        </w:numPr>
        <w:spacing w:beforeLines="0" w:afterLines="0"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重庆储备粮管理集团有限公司彭水分公司仓储机械设备采购项目</w:t>
      </w:r>
    </w:p>
    <w:p w14:paraId="5ABDA6C0">
      <w:pPr>
        <w:numPr>
          <w:ilvl w:val="0"/>
          <w:numId w:val="1"/>
        </w:numPr>
        <w:spacing w:beforeLines="0" w:afterLines="0" w:line="594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概况</w:t>
      </w:r>
    </w:p>
    <w:p w14:paraId="4E148335">
      <w:pPr>
        <w:spacing w:beforeLines="0" w:afterLines="0" w:line="594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1.项目法人：</w:t>
      </w:r>
      <w:bookmarkStart w:id="0" w:name="OLE_LINK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重庆储备粮管理集团有限公司彭水分公司</w:t>
      </w:r>
      <w:bookmarkEnd w:id="0"/>
    </w:p>
    <w:p w14:paraId="3D999F67">
      <w:pPr>
        <w:spacing w:beforeLines="0" w:afterLines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cs="Times New Roman"/>
          <w:sz w:val="32"/>
          <w:szCs w:val="32"/>
          <w:lang w:eastAsia="zh-CN"/>
        </w:rPr>
        <w:t>项目</w:t>
      </w:r>
      <w:r>
        <w:rPr>
          <w:rFonts w:ascii="Times New Roman" w:hAnsi="Times New Roman" w:eastAsia="方正仿宋_GBK" w:cs="Times New Roman"/>
          <w:sz w:val="32"/>
          <w:szCs w:val="32"/>
        </w:rPr>
        <w:t>地点：</w:t>
      </w:r>
      <w:r>
        <w:rPr>
          <w:rFonts w:hint="eastAsia" w:cs="Times New Roman"/>
          <w:sz w:val="32"/>
          <w:szCs w:val="32"/>
          <w:lang w:val="en-US" w:eastAsia="zh-CN"/>
        </w:rPr>
        <w:t>重庆市彭水县保家镇工业园区友谊路（彭水储备库）</w:t>
      </w:r>
      <w:bookmarkStart w:id="4" w:name="_GoBack"/>
      <w:bookmarkEnd w:id="4"/>
    </w:p>
    <w:p w14:paraId="5FCE23C9">
      <w:pPr>
        <w:spacing w:beforeLines="0" w:afterLines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方正仿宋_GBK" w:cs="Times New Roman"/>
          <w:sz w:val="32"/>
          <w:szCs w:val="32"/>
        </w:rPr>
        <w:t>内容：</w:t>
      </w:r>
    </w:p>
    <w:tbl>
      <w:tblPr>
        <w:tblStyle w:val="20"/>
        <w:tblW w:w="9207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2254"/>
        <w:gridCol w:w="886"/>
        <w:gridCol w:w="1000"/>
        <w:gridCol w:w="2382"/>
      </w:tblGrid>
      <w:tr w14:paraId="6A28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65" w:type="dxa"/>
            <w:vAlign w:val="center"/>
          </w:tcPr>
          <w:p w14:paraId="4CF0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 w14:paraId="3E85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254" w:type="dxa"/>
            <w:vAlign w:val="center"/>
          </w:tcPr>
          <w:p w14:paraId="4736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886" w:type="dxa"/>
            <w:vAlign w:val="center"/>
          </w:tcPr>
          <w:p w14:paraId="6973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00" w:type="dxa"/>
            <w:vAlign w:val="center"/>
          </w:tcPr>
          <w:p w14:paraId="7ECE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382" w:type="dxa"/>
            <w:vAlign w:val="center"/>
          </w:tcPr>
          <w:p w14:paraId="16FD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最高限价</w:t>
            </w:r>
          </w:p>
        </w:tc>
      </w:tr>
      <w:tr w14:paraId="7705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dxa"/>
            <w:vAlign w:val="center"/>
          </w:tcPr>
          <w:p w14:paraId="7B58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OLE_LINK1" w:colFirst="1" w:colLast="4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 w14:paraId="2294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伸缩式输送机</w:t>
            </w:r>
          </w:p>
        </w:tc>
        <w:tc>
          <w:tcPr>
            <w:tcW w:w="2254" w:type="dxa"/>
            <w:vAlign w:val="center"/>
          </w:tcPr>
          <w:p w14:paraId="426F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3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  <w:t>650</w:t>
            </w:r>
            <w:r>
              <w:rPr>
                <w:rStyle w:val="34"/>
                <w:rFonts w:hint="default" w:ascii="Arial" w:hAnsi="Arial" w:cs="Arial" w:eastAsiaTheme="majorEastAsia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3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  <w:t>（8+4）</w:t>
            </w:r>
          </w:p>
        </w:tc>
        <w:tc>
          <w:tcPr>
            <w:tcW w:w="886" w:type="dxa"/>
            <w:vAlign w:val="center"/>
          </w:tcPr>
          <w:p w14:paraId="7870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vAlign w:val="center"/>
          </w:tcPr>
          <w:p w14:paraId="62E1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2" w:type="dxa"/>
            <w:vAlign w:val="center"/>
          </w:tcPr>
          <w:p w14:paraId="6A09F26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28000.00</w:t>
            </w:r>
          </w:p>
        </w:tc>
      </w:tr>
      <w:tr w14:paraId="036B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65" w:type="dxa"/>
            <w:vAlign w:val="center"/>
          </w:tcPr>
          <w:p w14:paraId="3362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 w14:paraId="7E99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环保清粮机</w:t>
            </w:r>
          </w:p>
        </w:tc>
        <w:tc>
          <w:tcPr>
            <w:tcW w:w="2254" w:type="dxa"/>
            <w:vAlign w:val="center"/>
          </w:tcPr>
          <w:p w14:paraId="453D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2.4</w:t>
            </w:r>
            <w:r>
              <w:rPr>
                <w:rFonts w:hint="default" w:ascii="Arial" w:hAnsi="Arial" w:cs="Arial" w:eastAsiaTheme="maj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2.2</w:t>
            </w:r>
          </w:p>
        </w:tc>
        <w:tc>
          <w:tcPr>
            <w:tcW w:w="886" w:type="dxa"/>
            <w:vAlign w:val="center"/>
          </w:tcPr>
          <w:p w14:paraId="4E17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vAlign w:val="center"/>
          </w:tcPr>
          <w:p w14:paraId="7D62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82" w:type="dxa"/>
            <w:vAlign w:val="center"/>
          </w:tcPr>
          <w:p w14:paraId="1ADF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120000.00</w:t>
            </w:r>
          </w:p>
        </w:tc>
      </w:tr>
      <w:bookmarkEnd w:id="1"/>
    </w:tbl>
    <w:p w14:paraId="0D906BD4">
      <w:pPr>
        <w:spacing w:beforeLines="0" w:afterLines="0"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4.供货时间：合同签订后20天内。</w:t>
      </w:r>
    </w:p>
    <w:p w14:paraId="50A62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格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要求</w:t>
      </w:r>
    </w:p>
    <w:p w14:paraId="7BFE0387">
      <w:pPr>
        <w:spacing w:line="594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1、具有独立法人资格（分公司报价需有总公司授权书）：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具备粮机经营资质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；不接受个人报价；</w:t>
      </w:r>
    </w:p>
    <w:p w14:paraId="7DB2BEB0">
      <w:pPr>
        <w:spacing w:line="594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2、具有良好的商业信誉，近三年内在经营活动中没有重大违法记录及围标串标行为；</w:t>
      </w:r>
    </w:p>
    <w:p w14:paraId="4AE100E2">
      <w:pPr>
        <w:tabs>
          <w:tab w:val="left" w:pos="3840"/>
          <w:tab w:val="left" w:pos="5300"/>
        </w:tabs>
        <w:wordWrap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参加本次招标活动近三年内，在经营活动中没有因产品缺陷发生过安全事故。</w:t>
      </w:r>
    </w:p>
    <w:p w14:paraId="3033A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技术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要求</w:t>
      </w:r>
    </w:p>
    <w:p w14:paraId="1718226F">
      <w:pPr>
        <w:spacing w:beforeLines="0" w:afterLines="0" w:line="594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符合强制性质量标准，符合国家和重庆市现行有关技术标准和质量要求。</w:t>
      </w:r>
    </w:p>
    <w:p w14:paraId="1EE05F73">
      <w:pPr>
        <w:numPr>
          <w:ilvl w:val="0"/>
          <w:numId w:val="0"/>
        </w:numPr>
        <w:spacing w:beforeLines="0" w:after="0" w:afterLines="0" w:line="594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环保清粮机：1.处理量30-60t/h； 2.配置功率：振动电机2</w:t>
      </w:r>
      <w:r>
        <w:rPr>
          <w:rFonts w:hint="default" w:ascii="Arial" w:hAnsi="Arial" w:eastAsia="仿宋" w:cs="Arial"/>
          <w:b w:val="0"/>
          <w:bCs w:val="0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0.75kw，行走电机2.2kw，绞龙电机2.2kw，输送电机2.2kw，风机2</w:t>
      </w:r>
      <w:r>
        <w:rPr>
          <w:rFonts w:hint="default" w:ascii="Arial" w:hAnsi="Arial" w:eastAsia="仿宋" w:cs="Arial"/>
          <w:b w:val="0"/>
          <w:bCs w:val="0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5.5kw，空压机7.5kw；3.除尘方式：环保脉冲除尘方式；4.清理效果：大杂＞90%，小杂＞75%，杂质收集率＞98%；5.设备尺寸不小于：长</w:t>
      </w:r>
      <w:r>
        <w:rPr>
          <w:rFonts w:hint="default" w:ascii="Arial" w:hAnsi="Arial" w:eastAsia="仿宋" w:cs="Arial"/>
          <w:b w:val="0"/>
          <w:bCs w:val="0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宽</w:t>
      </w:r>
      <w:r>
        <w:rPr>
          <w:rFonts w:hint="default" w:ascii="Arial" w:hAnsi="Arial" w:eastAsia="仿宋" w:cs="Arial"/>
          <w:b w:val="0"/>
          <w:bCs w:val="0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高=7700mm</w:t>
      </w:r>
      <w:r>
        <w:rPr>
          <w:rFonts w:hint="default" w:ascii="Arial" w:hAnsi="Arial" w:eastAsia="仿宋" w:cs="Arial"/>
          <w:b w:val="0"/>
          <w:bCs w:val="0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3300mm</w:t>
      </w:r>
      <w:r>
        <w:rPr>
          <w:rFonts w:hint="default" w:ascii="Arial" w:hAnsi="Arial" w:eastAsia="仿宋" w:cs="Arial"/>
          <w:b w:val="0"/>
          <w:bCs w:val="0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5100mm；6.漆面工艺：碳钢材质抛光（喷砂）除锈，除锈等级不低于 Sa2.5 级,漆膜厚度大于100μm；整机防静电喷涂；7.配电箱节能故障预测报警系统：电脑触摸屏一键智能启停，智能安全防护预警，强弱电双配电箱、24V防触电、弱配电箱预留智能化进仓系统外置模块接口，方便智能化进仓系统对设备进行远程操控；8.托辊：两端橡胶密封垫，静音轴承，轴承有卡簧固定方便更换轴承；托辊为管壁厚2.5mm，表面烤漆；9.双绞龙双落渣区智能环保振动筛：双风选一振动筛（两个风道均可调节风速）：一次风选直立风道尺寸不小于：宽99cm，长200cm;---旋振筛---二次风选风道尺寸宽度不小于200CM---末次轻渣分离：提供佐证材料：知识产权证书或设备照片能够明示其予以佐证。</w:t>
      </w:r>
    </w:p>
    <w:p w14:paraId="64B87D21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伸缩式皮带输送机8m+4m</w:t>
      </w:r>
      <w:r>
        <w:rPr>
          <w:rFonts w:hint="default" w:ascii="Arial" w:hAnsi="Arial" w:eastAsia="仿宋" w:cs="Arial"/>
          <w:b w:val="0"/>
          <w:bCs w:val="0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650  1、EP200尼龙人字环形输送带承受最大压力值：10兆帕；2.动力：4KW+1.5KW；3.产量：处理量：小麦/玉米/水稻≥50-80T/H；3.输送机安全防护要求：托辊支撑为安全护板，防护达到应急局安全检查要求；整机三面立体安全防护装置（达不到应急局要求自行整改）升降钢丝绳防断裂双重安全防护装置；4.配电箱节能故障预测报警系统：强弱电双配电箱、24V防触电、具有节能报警系统；机身配电箱对侧配备防爆急停装置；5.托辊：两端橡胶密封垫，静音轴承，轴承有卡簧固定方便更换轴承；托辊为管壁厚2.5mm，表面烤漆；提供佐证材料：提供320托辊样品一支； 6.多功能应急照明；7.漆面工艺：碳钢材质抛光（喷砂）除锈，除锈等级不低于 Sa2.5 级,漆膜厚度大于100μm；整机防静电喷涂。8.智能配置：自动启停、电子安全防护预警装置。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报价单位必须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是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fill="FFFFFF"/>
        </w:rPr>
        <w:t>国内经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fill="FFFFFF"/>
          <w:lang w:val="en-US" w:eastAsia="zh-CN"/>
        </w:rPr>
        <w:t>市场监管部门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fill="FFFFFF"/>
        </w:rPr>
        <w:t>正式注册登记的，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fill="FFFFFF"/>
          <w:lang w:eastAsia="zh-CN"/>
        </w:rPr>
        <w:t>具备粮机经营资质，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fill="FFFFFF"/>
        </w:rPr>
        <w:t>具有独立法人资格，独立承担民事责任和履行合同能力，具有良好的经济信誉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fill="FFFFFF"/>
        </w:rPr>
        <w:t>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近三年内在经营活动中没有重大违法记录。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提供有效营业执照（复印件须加盖公章），不接受中介组织及个人报价。</w:t>
      </w:r>
    </w:p>
    <w:p w14:paraId="5E5BD378">
      <w:pPr>
        <w:numPr>
          <w:ilvl w:val="0"/>
          <w:numId w:val="2"/>
        </w:numPr>
        <w:spacing w:beforeLines="0" w:afterLines="0"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最高限价</w:t>
      </w:r>
    </w:p>
    <w:p w14:paraId="75EB99CF">
      <w:pPr>
        <w:spacing w:beforeLines="0" w:afterLines="0" w:line="594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最高限价</w:t>
      </w:r>
      <w:r>
        <w:rPr>
          <w:rFonts w:hint="eastAsia" w:cs="Times New Roman"/>
          <w:sz w:val="32"/>
          <w:szCs w:val="32"/>
          <w:lang w:val="en-US" w:eastAsia="zh-CN"/>
        </w:rPr>
        <w:t>：详见“采购内容”限价（币种为人民币）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18CE7D30">
      <w:pPr>
        <w:spacing w:beforeLines="0" w:afterLines="0"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报价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方式</w:t>
      </w:r>
    </w:p>
    <w:p w14:paraId="35592BDD">
      <w:pPr>
        <w:spacing w:beforeLines="0" w:afterLines="0" w:line="594" w:lineRule="exact"/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eastAsia" w:cs="Times New Roman"/>
          <w:sz w:val="32"/>
          <w:szCs w:val="32"/>
          <w:lang w:val="en-US" w:eastAsia="zh-CN"/>
        </w:rPr>
        <w:t>参照“仓储机械设备报价清单”（附件1）进行报价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6F3C68F6">
      <w:pPr>
        <w:spacing w:beforeLines="0" w:afterLines="0" w:line="594" w:lineRule="exact"/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报价含</w:t>
      </w:r>
      <w:r>
        <w:rPr>
          <w:rFonts w:hint="eastAsia" w:cs="Times New Roman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费、</w:t>
      </w:r>
      <w:r>
        <w:rPr>
          <w:rFonts w:hint="eastAsia" w:cs="Times New Roman"/>
          <w:sz w:val="32"/>
          <w:szCs w:val="32"/>
          <w:lang w:val="en-US" w:eastAsia="zh-CN"/>
        </w:rPr>
        <w:t>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费</w:t>
      </w:r>
      <w:r>
        <w:rPr>
          <w:rFonts w:hint="eastAsia" w:cs="Times New Roman"/>
          <w:sz w:val="32"/>
          <w:szCs w:val="32"/>
          <w:lang w:val="en-US" w:eastAsia="zh-CN"/>
        </w:rPr>
        <w:t>、安装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费、</w:t>
      </w:r>
      <w:r>
        <w:rPr>
          <w:rFonts w:hint="eastAsia" w:cs="Times New Roman"/>
          <w:sz w:val="32"/>
          <w:szCs w:val="32"/>
          <w:lang w:val="en-US" w:eastAsia="zh-CN"/>
        </w:rPr>
        <w:t>调试费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保修服务费、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税费</w:t>
      </w:r>
      <w:r>
        <w:rPr>
          <w:rFonts w:hint="eastAsia" w:cs="Times New Roman"/>
          <w:sz w:val="32"/>
          <w:szCs w:val="32"/>
          <w:lang w:val="en-US" w:eastAsia="zh-CN"/>
        </w:rPr>
        <w:t>、专用工具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等一切费用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5D4BDCF6">
      <w:pPr>
        <w:spacing w:beforeLines="0" w:afterLines="0" w:line="594" w:lineRule="exact"/>
        <w:ind w:firstLine="320" w:firstLineChars="10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eastAsia" w:cs="Times New Roman"/>
          <w:sz w:val="32"/>
          <w:szCs w:val="32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报价超过最高限价为无效报价</w:t>
      </w:r>
      <w:r>
        <w:rPr>
          <w:rFonts w:hint="eastAsia" w:cs="Times New Roman"/>
          <w:sz w:val="32"/>
          <w:szCs w:val="32"/>
          <w:lang w:val="en-US" w:eastAsia="zh-CN"/>
        </w:rPr>
        <w:t>。</w:t>
      </w:r>
    </w:p>
    <w:p w14:paraId="5F932B0F">
      <w:pPr>
        <w:pStyle w:val="31"/>
        <w:ind w:left="0" w:leftChars="0" w:firstLine="320" w:firstLineChars="100"/>
        <w:rPr>
          <w:rFonts w:hint="default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（四）报价清单后附营业执照和本次报价设备技术参数。</w:t>
      </w:r>
    </w:p>
    <w:p w14:paraId="27573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、比选方式</w:t>
      </w:r>
    </w:p>
    <w:p w14:paraId="4A59E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在本公告规定时间内三家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及以上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有效报价进行比选，报价最低者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，不满足三家报价单位，需二次挂网。</w:t>
      </w:r>
    </w:p>
    <w:p w14:paraId="0CEE53BE">
      <w:pPr>
        <w:pStyle w:val="24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eastAsia" w:cs="方正黑体_GBK"/>
          <w:color w:val="auto"/>
          <w:kern w:val="2"/>
          <w:sz w:val="32"/>
          <w:szCs w:val="32"/>
          <w:lang w:val="en-US" w:eastAsia="zh-CN"/>
        </w:rPr>
        <w:t>八、报价人参选保证金缴纳</w:t>
      </w:r>
    </w:p>
    <w:p w14:paraId="356F7C3B">
      <w:pPr>
        <w:numPr>
          <w:ilvl w:val="0"/>
          <w:numId w:val="3"/>
        </w:numPr>
        <w:ind w:firstLine="640" w:firstLineChars="200"/>
        <w:rPr>
          <w:rFonts w:hint="eastAsia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cs="方正黑体_GBK"/>
          <w:color w:val="auto"/>
          <w:kern w:val="2"/>
          <w:sz w:val="32"/>
          <w:szCs w:val="32"/>
          <w:lang w:val="en-US" w:eastAsia="zh-CN"/>
        </w:rPr>
        <w:t>保证金金额：3000.00元人民币。</w:t>
      </w:r>
    </w:p>
    <w:p w14:paraId="0CFBC759">
      <w:pPr>
        <w:pStyle w:val="23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开户银行：重庆三峡银行股份有限公司彭水支行</w:t>
      </w:r>
    </w:p>
    <w:p w14:paraId="639415A9">
      <w:pPr>
        <w:pStyle w:val="23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账户名称：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重庆储备粮管理集团有限公司彭水分公司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49B7514D">
      <w:pPr>
        <w:pStyle w:val="23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账号：01731560017000344</w:t>
      </w:r>
    </w:p>
    <w:p w14:paraId="02B8C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注：参选保证金必须从报价人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基本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账户直接转（汇）入。转 （汇）款到账截止时间（到账时间）为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2025年12月23日17时前，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超过时间视为报价无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效。</w:t>
      </w:r>
    </w:p>
    <w:p w14:paraId="5C982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各报价人在转（汇）款时要充分考虑银行转（汇）的 时间差风险。</w:t>
      </w:r>
    </w:p>
    <w:p w14:paraId="24A8E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参选保证金在项目评审后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5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个工作日内无息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原路退回。</w:t>
      </w:r>
    </w:p>
    <w:p w14:paraId="69C6C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九、验收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方式</w:t>
      </w:r>
    </w:p>
    <w:p w14:paraId="2291A22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="0" w:afterLines="-2147483648" w:line="594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cs="方正仿宋_GBK"/>
          <w:snapToGrid/>
          <w:sz w:val="32"/>
          <w:szCs w:val="32"/>
        </w:rPr>
        <w:t>通过到货开箱验收、安装调试、试运行验收合格后，供方和需方签字盖章确认</w:t>
      </w:r>
      <w:r>
        <w:rPr>
          <w:rFonts w:hint="eastAsia" w:cs="方正仿宋_GBK"/>
          <w:snapToGrid/>
          <w:sz w:val="32"/>
          <w:szCs w:val="32"/>
          <w:lang w:eastAsia="zh-CN"/>
        </w:rPr>
        <w:t>并</w:t>
      </w:r>
      <w:r>
        <w:rPr>
          <w:rFonts w:hint="eastAsia" w:cs="方正仿宋_GBK"/>
          <w:snapToGrid/>
          <w:sz w:val="32"/>
          <w:szCs w:val="32"/>
        </w:rPr>
        <w:t>出具项目验收报告</w:t>
      </w:r>
      <w:r>
        <w:rPr>
          <w:rFonts w:hint="eastAsia" w:cs="方正仿宋_GBK"/>
          <w:snapToGrid/>
          <w:sz w:val="32"/>
          <w:szCs w:val="32"/>
          <w:lang w:eastAsia="zh-CN"/>
        </w:rPr>
        <w:t>。</w:t>
      </w:r>
    </w:p>
    <w:p w14:paraId="40FB3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、付款方式</w:t>
      </w:r>
    </w:p>
    <w:p w14:paraId="6B87F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default" w:cs="方正仿宋_GBK"/>
          <w:snapToGrid/>
          <w:sz w:val="32"/>
          <w:szCs w:val="32"/>
          <w:lang w:val="en-US" w:eastAsia="zh-CN"/>
        </w:rPr>
      </w:pPr>
      <w:r>
        <w:rPr>
          <w:rFonts w:hint="eastAsia" w:cs="方正仿宋_GBK"/>
          <w:snapToGrid/>
          <w:sz w:val="32"/>
          <w:szCs w:val="32"/>
          <w:lang w:val="en-US" w:eastAsia="zh-CN"/>
        </w:rPr>
        <w:t>按合同约定执行。</w:t>
      </w:r>
    </w:p>
    <w:p w14:paraId="734EE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询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价截止时间</w:t>
      </w:r>
    </w:p>
    <w:p w14:paraId="4ECBF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请各单位于</w:t>
      </w:r>
      <w:bookmarkStart w:id="2" w:name="OLE_LINK4"/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bookmarkStart w:id="3" w:name="OLE_LINK3"/>
      <w:r>
        <w:rPr>
          <w:rFonts w:hint="eastAsia" w:cs="Times New Roman"/>
          <w:sz w:val="32"/>
          <w:szCs w:val="32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bookmarkEnd w:id="2"/>
      <w:bookmarkEnd w:id="3"/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时前，将盖公章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后的报价资料密封邮寄我司。</w:t>
      </w:r>
    </w:p>
    <w:p w14:paraId="3B4F497B">
      <w:pPr>
        <w:pStyle w:val="2"/>
        <w:widowControl w:val="0"/>
        <w:numPr>
          <w:ilvl w:val="0"/>
          <w:numId w:val="0"/>
        </w:numPr>
        <w:adjustRightInd/>
        <w:snapToGrid/>
        <w:spacing w:line="480" w:lineRule="exact"/>
        <w:ind w:firstLine="640" w:firstLineChars="200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十二、联系方式</w:t>
      </w:r>
    </w:p>
    <w:p w14:paraId="2187EA31">
      <w:pPr>
        <w:pStyle w:val="2"/>
        <w:widowControl w:val="0"/>
        <w:numPr>
          <w:ilvl w:val="0"/>
          <w:numId w:val="0"/>
        </w:numPr>
        <w:adjustRightInd/>
        <w:snapToGrid/>
        <w:spacing w:line="480" w:lineRule="exact"/>
        <w:ind w:firstLine="640" w:firstLineChars="200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雷先生，电话：13609499060； 邮寄 地址：重庆市黔江区正阳街道物流东路 77 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号。 </w:t>
      </w:r>
    </w:p>
    <w:p w14:paraId="5F173D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leftChars="200"/>
        <w:textAlignment w:val="auto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十三、</w:t>
      </w: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其他</w:t>
      </w:r>
    </w:p>
    <w:p w14:paraId="60AACD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报价人一经报价代表其完全认可此询价函及其附件的全部内容。 </w:t>
      </w:r>
    </w:p>
    <w:p w14:paraId="1AA3B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特此函告</w:t>
      </w:r>
    </w:p>
    <w:p w14:paraId="715FFE5B">
      <w:pPr>
        <w:pStyle w:val="23"/>
        <w:ind w:left="0" w:leftChars="0" w:firstLine="0" w:firstLineChars="0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</w:p>
    <w:p w14:paraId="11C8E351">
      <w:pPr>
        <w:pStyle w:val="23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：1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cs="Times New Roman"/>
          <w:sz w:val="32"/>
          <w:szCs w:val="32"/>
          <w:lang w:val="en-US" w:eastAsia="zh-CN"/>
        </w:rPr>
        <w:t>仓储机械设备报价清单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 </w:t>
      </w:r>
    </w:p>
    <w:p w14:paraId="3A623F9D">
      <w:pPr>
        <w:pStyle w:val="23"/>
        <w:numPr>
          <w:ilvl w:val="0"/>
          <w:numId w:val="0"/>
        </w:numPr>
        <w:ind w:firstLine="1600" w:firstLineChars="500"/>
        <w:rPr>
          <w:rFonts w:hint="eastAsia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方正仿宋_GBK"/>
          <w:snapToGrid/>
          <w:kern w:val="2"/>
          <w:sz w:val="32"/>
          <w:szCs w:val="32"/>
          <w:lang w:val="en-US" w:eastAsia="zh-CN" w:bidi="ar-SA"/>
        </w:rPr>
        <w:t>2.设备采购</w:t>
      </w:r>
      <w:r>
        <w:rPr>
          <w:rFonts w:hint="eastAsia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合同</w:t>
      </w:r>
    </w:p>
    <w:p w14:paraId="4BD5090C">
      <w:pPr>
        <w:pStyle w:val="23"/>
        <w:numPr>
          <w:ilvl w:val="0"/>
          <w:numId w:val="0"/>
        </w:numPr>
        <w:ind w:firstLine="1920" w:firstLineChars="600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</w:p>
    <w:p w14:paraId="243D4174">
      <w:pPr>
        <w:pStyle w:val="23"/>
        <w:numPr>
          <w:ilvl w:val="0"/>
          <w:numId w:val="0"/>
        </w:numPr>
        <w:ind w:firstLine="1920" w:firstLineChars="600"/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 xml:space="preserve">  </w:t>
      </w:r>
    </w:p>
    <w:p w14:paraId="439B09AF">
      <w:pPr>
        <w:pStyle w:val="23"/>
        <w:numPr>
          <w:ilvl w:val="0"/>
          <w:numId w:val="0"/>
        </w:numPr>
        <w:ind w:firstLine="2880" w:firstLineChars="9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重庆储备粮管理集团有限公司彭水分公司</w:t>
      </w:r>
    </w:p>
    <w:p w14:paraId="30D42397">
      <w:pPr>
        <w:pStyle w:val="23"/>
        <w:numPr>
          <w:ilvl w:val="0"/>
          <w:numId w:val="0"/>
        </w:numPr>
        <w:ind w:firstLine="4800" w:firstLineChars="1500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日</w:t>
      </w:r>
    </w:p>
    <w:p w14:paraId="3AC22828">
      <w:pPr>
        <w:pStyle w:val="23"/>
        <w:numPr>
          <w:ilvl w:val="0"/>
          <w:numId w:val="0"/>
        </w:numPr>
        <w:ind w:firstLine="1920" w:firstLineChars="600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</w:p>
    <w:p w14:paraId="70CC3F0C">
      <w:pPr>
        <w:pStyle w:val="23"/>
        <w:numPr>
          <w:ilvl w:val="0"/>
          <w:numId w:val="0"/>
        </w:numPr>
        <w:ind w:firstLine="1860" w:firstLineChars="600"/>
        <w:rPr>
          <w:rFonts w:hint="default" w:ascii="MicrosoftYaHei" w:hAnsi="MicrosoftYaHei" w:eastAsia="MicrosoftYaHei" w:cs="MicrosoftYaHei"/>
          <w:b w:val="0"/>
          <w:color w:val="000000"/>
          <w:sz w:val="31"/>
          <w:szCs w:val="31"/>
        </w:rPr>
      </w:pPr>
    </w:p>
    <w:p w14:paraId="23FA2B5A">
      <w:pPr>
        <w:widowControl/>
        <w:adjustRightInd w:val="0"/>
        <w:snapToGrid w:val="0"/>
        <w:spacing w:beforeLines="0" w:line="594" w:lineRule="exact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  <w:lang w:eastAsia="zh-CN"/>
        </w:rPr>
        <w:t>附件：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1</w:t>
      </w:r>
    </w:p>
    <w:p w14:paraId="633AA5E2">
      <w:pPr>
        <w:pStyle w:val="2"/>
        <w:rPr>
          <w:rFonts w:hint="eastAsia"/>
          <w:lang w:val="en-US" w:eastAsia="zh-CN"/>
        </w:rPr>
      </w:pPr>
    </w:p>
    <w:p w14:paraId="4ABF8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  <w:t>重庆储备粮管理集团有限公司彭水分公司</w:t>
      </w:r>
    </w:p>
    <w:p w14:paraId="64777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  <w:t>仓储机械设备报价清单</w:t>
      </w:r>
    </w:p>
    <w:tbl>
      <w:tblPr>
        <w:tblStyle w:val="20"/>
        <w:tblW w:w="9602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36"/>
        <w:gridCol w:w="1719"/>
        <w:gridCol w:w="927"/>
        <w:gridCol w:w="840"/>
        <w:gridCol w:w="1740"/>
        <w:gridCol w:w="1785"/>
      </w:tblGrid>
      <w:tr w14:paraId="460C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55" w:type="dxa"/>
            <w:vAlign w:val="center"/>
          </w:tcPr>
          <w:p w14:paraId="47B5D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636" w:type="dxa"/>
            <w:vAlign w:val="center"/>
          </w:tcPr>
          <w:p w14:paraId="01F5D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19" w:type="dxa"/>
            <w:vAlign w:val="center"/>
          </w:tcPr>
          <w:p w14:paraId="0E262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27" w:type="dxa"/>
            <w:vAlign w:val="center"/>
          </w:tcPr>
          <w:p w14:paraId="0B2ED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840" w:type="dxa"/>
            <w:vAlign w:val="center"/>
          </w:tcPr>
          <w:p w14:paraId="157CE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1740" w:type="dxa"/>
            <w:vAlign w:val="center"/>
          </w:tcPr>
          <w:p w14:paraId="59F58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1785" w:type="dxa"/>
            <w:vAlign w:val="center"/>
          </w:tcPr>
          <w:p w14:paraId="67F11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3C62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5" w:type="dxa"/>
            <w:vAlign w:val="center"/>
          </w:tcPr>
          <w:p w14:paraId="0F7B3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36" w:type="dxa"/>
            <w:vAlign w:val="center"/>
          </w:tcPr>
          <w:p w14:paraId="1B0F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伸缩式输送机</w:t>
            </w:r>
          </w:p>
        </w:tc>
        <w:tc>
          <w:tcPr>
            <w:tcW w:w="1719" w:type="dxa"/>
            <w:vAlign w:val="center"/>
          </w:tcPr>
          <w:p w14:paraId="5EF4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3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  <w:t>650</w:t>
            </w:r>
            <w:r>
              <w:rPr>
                <w:rStyle w:val="34"/>
                <w:rFonts w:hint="default" w:ascii="Arial" w:hAnsi="Arial" w:cs="Arial" w:eastAsiaTheme="majorEastAsia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3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  <w:t>（8+4）</w:t>
            </w:r>
          </w:p>
        </w:tc>
        <w:tc>
          <w:tcPr>
            <w:tcW w:w="927" w:type="dxa"/>
            <w:vAlign w:val="center"/>
          </w:tcPr>
          <w:p w14:paraId="0313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vAlign w:val="center"/>
          </w:tcPr>
          <w:p w14:paraId="218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 w14:paraId="41211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vAlign w:val="center"/>
          </w:tcPr>
          <w:p w14:paraId="7D182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27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55" w:type="dxa"/>
            <w:vAlign w:val="center"/>
          </w:tcPr>
          <w:p w14:paraId="77543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36" w:type="dxa"/>
            <w:vAlign w:val="center"/>
          </w:tcPr>
          <w:p w14:paraId="1595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环保清粮机</w:t>
            </w:r>
          </w:p>
        </w:tc>
        <w:tc>
          <w:tcPr>
            <w:tcW w:w="1719" w:type="dxa"/>
            <w:vAlign w:val="center"/>
          </w:tcPr>
          <w:p w14:paraId="2F8D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2.4</w:t>
            </w:r>
            <w:r>
              <w:rPr>
                <w:rFonts w:hint="default" w:ascii="Arial" w:hAnsi="Arial" w:cs="Arial" w:eastAsiaTheme="maj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2.2</w:t>
            </w:r>
          </w:p>
        </w:tc>
        <w:tc>
          <w:tcPr>
            <w:tcW w:w="927" w:type="dxa"/>
            <w:vAlign w:val="center"/>
          </w:tcPr>
          <w:p w14:paraId="7624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vAlign w:val="center"/>
          </w:tcPr>
          <w:p w14:paraId="61AB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 w14:paraId="0D485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vAlign w:val="center"/>
          </w:tcPr>
          <w:p w14:paraId="550AD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A5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91" w:type="dxa"/>
            <w:gridSpan w:val="2"/>
            <w:vAlign w:val="center"/>
          </w:tcPr>
          <w:p w14:paraId="5BC0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报价总金额</w:t>
            </w:r>
          </w:p>
        </w:tc>
        <w:tc>
          <w:tcPr>
            <w:tcW w:w="7011" w:type="dxa"/>
            <w:gridSpan w:val="5"/>
            <w:vAlign w:val="center"/>
          </w:tcPr>
          <w:p w14:paraId="070FC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方正仿宋_GBK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¥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</w:tbl>
    <w:p w14:paraId="151ADEBE">
      <w:pPr>
        <w:pStyle w:val="15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注：以上报价含设备费、运费、安装费、调试费、保修服务费、税费、专用工具等一切费用。</w:t>
      </w:r>
    </w:p>
    <w:p w14:paraId="3F4C907E">
      <w:pP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180F7F08">
      <w:pPr>
        <w:ind w:firstLine="4160" w:firstLineChars="13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报价单位（公章）：</w:t>
      </w:r>
    </w:p>
    <w:p w14:paraId="549631C3">
      <w:pPr>
        <w:tabs>
          <w:tab w:val="center" w:pos="4507"/>
        </w:tabs>
        <w:bidi w:val="0"/>
        <w:jc w:val="left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法定代表人或经办人签字：</w:t>
      </w:r>
    </w:p>
    <w:p w14:paraId="7AB0C153">
      <w:pP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联系电话：</w:t>
      </w:r>
    </w:p>
    <w:p w14:paraId="42169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报价时间：</w:t>
      </w:r>
    </w:p>
    <w:p w14:paraId="7827E9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 w:bidi="ar-SA"/>
        </w:rPr>
      </w:pPr>
    </w:p>
    <w:p w14:paraId="68380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</w:p>
    <w:p w14:paraId="74C7E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</w:p>
    <w:p w14:paraId="3808A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</w:p>
    <w:p w14:paraId="162CC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</w:p>
    <w:p w14:paraId="17ECB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</w:p>
    <w:p w14:paraId="5B5CE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  <w:t>附件：2</w:t>
      </w:r>
    </w:p>
    <w:p w14:paraId="5833B93E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</w:p>
    <w:p w14:paraId="582C9427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设备采购合同</w:t>
      </w:r>
    </w:p>
    <w:p w14:paraId="6FCC28BB">
      <w:pPr>
        <w:wordWrap w:val="0"/>
        <w:autoSpaceDE w:val="0"/>
        <w:autoSpaceDN w:val="0"/>
        <w:spacing w:before="0" w:after="0" w:line="324" w:lineRule="exact"/>
        <w:ind w:firstLine="0"/>
        <w:jc w:val="both"/>
        <w:rPr>
          <w:rFonts w:hint="eastAsia" w:ascii="宋体" w:hAnsi="宋体" w:eastAsia="宋体"/>
          <w:color w:val="000000"/>
          <w:sz w:val="25"/>
        </w:rPr>
      </w:pPr>
    </w:p>
    <w:p w14:paraId="7844DE6F">
      <w:pPr>
        <w:wordWrap w:val="0"/>
        <w:autoSpaceDE w:val="0"/>
        <w:autoSpaceDN w:val="0"/>
        <w:spacing w:before="0" w:after="0" w:line="324" w:lineRule="exact"/>
        <w:ind w:firstLine="5760" w:firstLineChars="2400"/>
        <w:jc w:val="both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合同编号：</w:t>
      </w:r>
    </w:p>
    <w:p w14:paraId="2849CBD9">
      <w:pPr>
        <w:wordWrap w:val="0"/>
        <w:autoSpaceDE w:val="0"/>
        <w:autoSpaceDN w:val="0"/>
        <w:spacing w:before="0" w:after="0" w:line="324" w:lineRule="exact"/>
        <w:ind w:firstLine="0"/>
        <w:jc w:val="center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签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订地点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：</w:t>
      </w:r>
    </w:p>
    <w:p w14:paraId="2E0F6B8D">
      <w:pPr>
        <w:tabs>
          <w:tab w:val="left" w:pos="5420"/>
        </w:tabs>
        <w:wordWrap w:val="0"/>
        <w:autoSpaceDE w:val="0"/>
        <w:autoSpaceDN w:val="0"/>
        <w:spacing w:before="0" w:after="0" w:line="471" w:lineRule="exact"/>
        <w:jc w:val="both"/>
        <w:rPr>
          <w:rFonts w:hint="eastAsia" w:ascii="方正仿宋_GBK" w:hAnsi="方正仿宋_GBK" w:eastAsia="方正仿宋_GBK" w:cs="方正仿宋_GBK"/>
          <w:b/>
          <w:bCs/>
          <w:color w:val="000000"/>
          <w:sz w:val="24"/>
          <w:szCs w:val="24"/>
        </w:rPr>
      </w:pPr>
    </w:p>
    <w:p w14:paraId="05C0BDE4">
      <w:pPr>
        <w:tabs>
          <w:tab w:val="left" w:pos="5420"/>
        </w:tabs>
        <w:wordWrap w:val="0"/>
        <w:autoSpaceDE w:val="0"/>
        <w:autoSpaceDN w:val="0"/>
        <w:spacing w:before="0" w:after="0" w:line="471" w:lineRule="exact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24"/>
          <w:szCs w:val="24"/>
        </w:rPr>
        <w:t>需方（甲方）：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  <w:lang w:val="en-US" w:eastAsia="zh-CN"/>
        </w:rPr>
        <w:t>重庆储备粮管理集团有限公司彭水分公司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                                                  </w:t>
      </w:r>
    </w:p>
    <w:p w14:paraId="5507372F">
      <w:pPr>
        <w:wordWrap w:val="0"/>
        <w:autoSpaceDE w:val="0"/>
        <w:autoSpaceDN w:val="0"/>
        <w:spacing w:before="0" w:after="0" w:line="420" w:lineRule="exact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24"/>
          <w:szCs w:val="24"/>
        </w:rPr>
        <w:t>供方（乙方）：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       </w:t>
      </w:r>
    </w:p>
    <w:p w14:paraId="3CDBCFF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产品名称及型号、数量、单价与金额</w:t>
      </w:r>
    </w:p>
    <w:tbl>
      <w:tblPr>
        <w:tblStyle w:val="20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44"/>
        <w:gridCol w:w="1350"/>
        <w:gridCol w:w="722"/>
        <w:gridCol w:w="709"/>
        <w:gridCol w:w="1170"/>
        <w:gridCol w:w="1386"/>
        <w:gridCol w:w="1736"/>
      </w:tblGrid>
      <w:tr w14:paraId="3D09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0" w:type="dxa"/>
          </w:tcPr>
          <w:p w14:paraId="2AC83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</w:tcPr>
          <w:p w14:paraId="6EF78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350" w:type="dxa"/>
            <w:vAlign w:val="top"/>
          </w:tcPr>
          <w:p w14:paraId="26351A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722" w:type="dxa"/>
            <w:vAlign w:val="top"/>
          </w:tcPr>
          <w:p w14:paraId="18250B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09" w:type="dxa"/>
            <w:vAlign w:val="top"/>
          </w:tcPr>
          <w:p w14:paraId="69CBE0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70" w:type="dxa"/>
            <w:vAlign w:val="top"/>
          </w:tcPr>
          <w:p w14:paraId="634DE0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386" w:type="dxa"/>
            <w:vAlign w:val="top"/>
          </w:tcPr>
          <w:p w14:paraId="0CB0C0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总金额（元）</w:t>
            </w:r>
          </w:p>
        </w:tc>
        <w:tc>
          <w:tcPr>
            <w:tcW w:w="1736" w:type="dxa"/>
            <w:vAlign w:val="top"/>
          </w:tcPr>
          <w:p w14:paraId="05E520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859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0" w:type="dxa"/>
            <w:vAlign w:val="center"/>
          </w:tcPr>
          <w:p w14:paraId="6574C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Align w:val="center"/>
          </w:tcPr>
          <w:p w14:paraId="27CAF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环保清粮机</w:t>
            </w:r>
          </w:p>
        </w:tc>
        <w:tc>
          <w:tcPr>
            <w:tcW w:w="1350" w:type="dxa"/>
            <w:vAlign w:val="center"/>
          </w:tcPr>
          <w:p w14:paraId="08577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2.4*2.2</w:t>
            </w:r>
          </w:p>
        </w:tc>
        <w:tc>
          <w:tcPr>
            <w:tcW w:w="722" w:type="dxa"/>
            <w:vAlign w:val="center"/>
          </w:tcPr>
          <w:p w14:paraId="33AB2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09" w:type="dxa"/>
            <w:vAlign w:val="center"/>
          </w:tcPr>
          <w:p w14:paraId="03E65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1FE6A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386" w:type="dxa"/>
            <w:vAlign w:val="center"/>
          </w:tcPr>
          <w:p w14:paraId="2E698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36" w:type="dxa"/>
          </w:tcPr>
          <w:p w14:paraId="7EC11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1B04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0" w:type="dxa"/>
            <w:vAlign w:val="center"/>
          </w:tcPr>
          <w:p w14:paraId="0B6C0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 w14:paraId="26F11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伸缩输送机</w:t>
            </w:r>
          </w:p>
        </w:tc>
        <w:tc>
          <w:tcPr>
            <w:tcW w:w="1350" w:type="dxa"/>
            <w:vAlign w:val="center"/>
          </w:tcPr>
          <w:p w14:paraId="632FC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650*（8+4）</w:t>
            </w:r>
          </w:p>
        </w:tc>
        <w:tc>
          <w:tcPr>
            <w:tcW w:w="722" w:type="dxa"/>
            <w:vAlign w:val="center"/>
          </w:tcPr>
          <w:p w14:paraId="4B66F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09" w:type="dxa"/>
            <w:vAlign w:val="center"/>
          </w:tcPr>
          <w:p w14:paraId="61731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4C7F3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386" w:type="dxa"/>
            <w:vAlign w:val="center"/>
          </w:tcPr>
          <w:p w14:paraId="44794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36" w:type="dxa"/>
          </w:tcPr>
          <w:p w14:paraId="56F9E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011A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077" w:type="dxa"/>
            <w:gridSpan w:val="8"/>
          </w:tcPr>
          <w:p w14:paraId="027FE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合计金额（大写）：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（小写¥: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）</w:t>
            </w:r>
          </w:p>
        </w:tc>
      </w:tr>
    </w:tbl>
    <w:p w14:paraId="1B3EA1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技术参数特别要求：按产品说明书所述标准执行。</w:t>
      </w:r>
    </w:p>
    <w:p w14:paraId="31823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68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质量要求与技术标准：产品质量实行“三包”，技术标准参照行业标准。</w:t>
      </w:r>
    </w:p>
    <w:p w14:paraId="0A89CB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68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交货地点及时间：重庆市黔江区正阳街道群力社区四组黔江储备库，交货时间：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2025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日前。</w:t>
      </w:r>
    </w:p>
    <w:p w14:paraId="71CB85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运输费用负担：运费由乙方承担。</w:t>
      </w:r>
    </w:p>
    <w:p w14:paraId="7EBDDB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验收标准及方法：按行业标准在交货地点验收。</w:t>
      </w:r>
    </w:p>
    <w:p w14:paraId="6A8CD3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68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结算方式及期限；货到验收合格后，乙方出具正式发票，甲方在5个工作日内支付合同总价款的95%，剩余5％作为质保金，待1年质保期期满后，无任何质量问题无息全额退还。</w:t>
      </w:r>
    </w:p>
    <w:p w14:paraId="74F8EA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八、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违约责任：</w:t>
      </w:r>
    </w:p>
    <w:p w14:paraId="7D7611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68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1．如果甲方在规定期限内不能按时付款，则每延迟一天，甲方向乙方支付延期款项总金额 0.2％的违约金。</w:t>
      </w:r>
    </w:p>
    <w:p w14:paraId="661A7D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1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2．乙方在规定期限内不能按时完成交货，则每延迟一天，乙方向甲方支付货物总金额0.2％的违约金，如该费用累计超过合同价的10%，甲方有权终止合同，乙方需赔偿给甲方造成的一切损失。</w:t>
      </w:r>
    </w:p>
    <w:p w14:paraId="3BCCCD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1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3.乙方交付的产品如规格型号、数量等不符合合同约定的，供方应支付需方合同总价20%的违约金。且乙方负责更换至符合合同约定，因此所发生的费用由乙方负责。</w:t>
      </w:r>
    </w:p>
    <w:p w14:paraId="63B7FF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3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．因履行本合同发生纠纷后，违约方除应承担约定的违约责任外，还应承担守约方为实现债权所发生的实现债权费用。实现债权费用包括但不限于诉讼费、诉讼保全费、诉讼保全担保责任保险费、律师代理费、评估费、拍卖费、执行费等为实现债权发生的所有费用。</w:t>
      </w:r>
    </w:p>
    <w:p w14:paraId="384260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3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解决合同纠纷的方式：双方本着友好协商的原则予以解决，协商不成，任意一方均可向甲方所在地人民法院提起诉讼。</w:t>
      </w:r>
    </w:p>
    <w:p w14:paraId="12744D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3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十、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本合同一式四份，甲方叁份，乙方壹份，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自双方法定代表人签字或盖章并加盖双方公司公章或合同专用章后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生效，均具有同等法律效力。</w:t>
      </w:r>
    </w:p>
    <w:p w14:paraId="49F846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3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十一、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其它约定事项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自交货之日起一年内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设备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出现制造或材质质量问题时，乙方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</w:rPr>
        <w:t>负责相关售后服务事项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，属无偿服务（易损件除外）。由于甲方操作不当导致设备损坏不属于方保修范围。</w:t>
      </w:r>
    </w:p>
    <w:p w14:paraId="4255112E">
      <w:pPr>
        <w:wordWrap w:val="0"/>
        <w:autoSpaceDE w:val="0"/>
        <w:autoSpaceDN w:val="0"/>
        <w:spacing w:before="0" w:after="0" w:line="393" w:lineRule="exact"/>
        <w:ind w:right="360"/>
        <w:jc w:val="left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</w:p>
    <w:tbl>
      <w:tblPr>
        <w:tblStyle w:val="19"/>
        <w:tblW w:w="8291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8"/>
        <w:gridCol w:w="4263"/>
      </w:tblGrid>
      <w:tr w14:paraId="5F313E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atLeast"/>
        </w:trPr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A9ADF">
            <w:pPr>
              <w:wordWrap w:val="0"/>
              <w:autoSpaceDE w:val="0"/>
              <w:autoSpaceDN w:val="0"/>
              <w:spacing w:before="0" w:after="0"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方</w:t>
            </w:r>
          </w:p>
          <w:p w14:paraId="3F851522">
            <w:pPr>
              <w:wordWrap w:val="0"/>
              <w:autoSpaceDE w:val="0"/>
              <w:autoSpaceDN w:val="0"/>
              <w:spacing w:before="0" w:after="0" w:line="350" w:lineRule="exact"/>
              <w:ind w:right="6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单位名称（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：</w:t>
            </w:r>
          </w:p>
          <w:p w14:paraId="44535424">
            <w:pPr>
              <w:wordWrap w:val="0"/>
              <w:autoSpaceDE w:val="0"/>
              <w:autoSpaceDN w:val="0"/>
              <w:spacing w:before="0" w:after="0" w:line="340" w:lineRule="exact"/>
              <w:ind w:right="10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4859F050">
            <w:pPr>
              <w:wordWrap w:val="0"/>
              <w:autoSpaceDE w:val="0"/>
              <w:autoSpaceDN w:val="0"/>
              <w:spacing w:before="0" w:after="0" w:line="340" w:lineRule="exact"/>
              <w:ind w:left="1400" w:right="100" w:hanging="1400" w:hangingChars="50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单位地址：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彭水工业园区友谊路</w:t>
            </w:r>
          </w:p>
          <w:p w14:paraId="38916B9A">
            <w:pPr>
              <w:wordWrap w:val="0"/>
              <w:autoSpaceDE w:val="0"/>
              <w:autoSpaceDN w:val="0"/>
              <w:spacing w:before="0" w:after="0" w:line="35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  <w:p w14:paraId="2016848F">
            <w:pPr>
              <w:wordWrap w:val="0"/>
              <w:autoSpaceDE w:val="0"/>
              <w:autoSpaceDN w:val="0"/>
              <w:spacing w:before="0" w:after="0" w:line="35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法定代表人：</w:t>
            </w:r>
          </w:p>
          <w:p w14:paraId="23CB4DE5">
            <w:pPr>
              <w:wordWrap w:val="0"/>
              <w:autoSpaceDE w:val="0"/>
              <w:autoSpaceDN w:val="0"/>
              <w:spacing w:before="249" w:after="0" w:line="35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经办人：</w:t>
            </w:r>
          </w:p>
          <w:p w14:paraId="72C22E76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07E093FF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电话：</w:t>
            </w:r>
          </w:p>
          <w:p w14:paraId="7CF51634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5D3C6CAA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开户银行：</w:t>
            </w:r>
          </w:p>
          <w:p w14:paraId="65E0BD40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账号：</w:t>
            </w:r>
          </w:p>
          <w:p w14:paraId="1F989DB9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签订时间：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8A1F37">
            <w:pPr>
              <w:wordWrap w:val="0"/>
              <w:autoSpaceDE w:val="0"/>
              <w:autoSpaceDN w:val="0"/>
              <w:spacing w:before="0" w:after="0"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供    方</w:t>
            </w:r>
          </w:p>
          <w:p w14:paraId="5A95D565">
            <w:pPr>
              <w:wordWrap w:val="0"/>
              <w:autoSpaceDE w:val="0"/>
              <w:autoSpaceDN w:val="0"/>
              <w:spacing w:before="0" w:after="0" w:line="350" w:lineRule="exact"/>
              <w:ind w:right="6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单位名称（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：</w:t>
            </w:r>
          </w:p>
          <w:p w14:paraId="31DC7AE8">
            <w:pPr>
              <w:wordWrap w:val="0"/>
              <w:autoSpaceDE w:val="0"/>
              <w:autoSpaceDN w:val="0"/>
              <w:spacing w:before="0" w:after="0" w:line="340" w:lineRule="exact"/>
              <w:ind w:right="6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4E31F4F6">
            <w:pPr>
              <w:wordWrap w:val="0"/>
              <w:autoSpaceDE w:val="0"/>
              <w:autoSpaceDN w:val="0"/>
              <w:spacing w:before="0" w:after="0" w:line="340" w:lineRule="exact"/>
              <w:ind w:right="6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单位地址：</w:t>
            </w:r>
          </w:p>
          <w:p w14:paraId="2FF4A438">
            <w:pPr>
              <w:wordWrap w:val="0"/>
              <w:autoSpaceDE w:val="0"/>
              <w:autoSpaceDN w:val="0"/>
              <w:spacing w:before="0" w:after="0" w:line="340" w:lineRule="exact"/>
              <w:ind w:right="6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61CFCC48">
            <w:pPr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法定代表人：</w:t>
            </w:r>
          </w:p>
          <w:p w14:paraId="1E855F4A">
            <w:pPr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经办人：</w:t>
            </w:r>
          </w:p>
          <w:p w14:paraId="42CA9D0E">
            <w:pPr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电话：</w:t>
            </w:r>
          </w:p>
          <w:p w14:paraId="7566E062">
            <w:pPr>
              <w:wordWrap w:val="0"/>
              <w:autoSpaceDE w:val="0"/>
              <w:autoSpaceDN w:val="0"/>
              <w:spacing w:before="0" w:after="0" w:line="34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开户银行：</w:t>
            </w:r>
          </w:p>
          <w:p w14:paraId="3BA85EC1">
            <w:pPr>
              <w:wordWrap w:val="0"/>
              <w:autoSpaceDE w:val="0"/>
              <w:autoSpaceDN w:val="0"/>
              <w:spacing w:before="0" w:after="0" w:line="35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账号：</w:t>
            </w:r>
          </w:p>
          <w:p w14:paraId="45891E46">
            <w:pPr>
              <w:wordWrap w:val="0"/>
              <w:autoSpaceDE w:val="0"/>
              <w:autoSpaceDN w:val="0"/>
              <w:spacing w:before="0" w:after="0" w:line="35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签订时间：</w:t>
            </w:r>
          </w:p>
          <w:p w14:paraId="42132841">
            <w:pPr>
              <w:wordWrap w:val="0"/>
              <w:autoSpaceDE w:val="0"/>
              <w:autoSpaceDN w:val="0"/>
              <w:spacing w:before="0" w:after="0" w:line="32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61619AC1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F023E5B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D81DF73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11A4B63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7B8A1D4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FDD979D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41712C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11EACE6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74627AA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1D000B7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6EF94DB">
      <w:pPr>
        <w:pStyle w:val="17"/>
        <w:spacing w:line="594" w:lineRule="exact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A046C85">
      <w:pPr>
        <w:pStyle w:val="17"/>
        <w:spacing w:line="240" w:lineRule="auto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decimal" w:start="1"/>
      <w:cols w:space="0" w:num="1"/>
      <w:rtlGutter w:val="0"/>
      <w:docGrid w:type="linesAndChar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979080-317F-40E5-81C8-A28C64CF36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3C921D8-CD65-4A35-BDD2-8756BE49B4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12BE6A-ACCA-4BBB-B12D-FD6833004EF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4E56D59-AE20-4544-8E18-F2D26B992B1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4FD1707-B59F-4E08-B4BB-A92C82E8CA91}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3EF3C647-8C6E-4E86-BF9C-6B1AD23C84A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B4DADC5A-48AA-4674-8092-B816F989D2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AAF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DA3AC">
                          <w:pPr>
                            <w:pStyle w:val="9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DA3AC">
                    <w:pPr>
                      <w:pStyle w:val="9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8F6EF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8F6EF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74211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74211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A1247">
    <w:pPr>
      <w:pStyle w:val="10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5F60B"/>
    <w:multiLevelType w:val="singleLevel"/>
    <w:tmpl w:val="E785F6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4C9705"/>
    <w:multiLevelType w:val="singleLevel"/>
    <w:tmpl w:val="EA4C97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D53A2D3"/>
    <w:multiLevelType w:val="singleLevel"/>
    <w:tmpl w:val="3D53A2D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039F24"/>
    <w:multiLevelType w:val="singleLevel"/>
    <w:tmpl w:val="47039F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320"/>
  <w:drawingGridVerticalSpacing w:val="3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zNiMGQwODRmM2Q0NWQ3ZWFkYWJkMjczZTBjZDIifQ=="/>
    <w:docVar w:name="KSO_WPS_MARK_KEY" w:val="aa8f7138-bdb4-4272-b0f9-e13b205eabe0"/>
  </w:docVars>
  <w:rsids>
    <w:rsidRoot w:val="35177188"/>
    <w:rsid w:val="000F0002"/>
    <w:rsid w:val="00D03026"/>
    <w:rsid w:val="012375FA"/>
    <w:rsid w:val="012D1F19"/>
    <w:rsid w:val="016460ED"/>
    <w:rsid w:val="01853E11"/>
    <w:rsid w:val="019404F8"/>
    <w:rsid w:val="019A46B5"/>
    <w:rsid w:val="01E245C8"/>
    <w:rsid w:val="01E303FD"/>
    <w:rsid w:val="02274EC8"/>
    <w:rsid w:val="025657AD"/>
    <w:rsid w:val="02D62C7E"/>
    <w:rsid w:val="02D97255"/>
    <w:rsid w:val="031C69F7"/>
    <w:rsid w:val="032D331F"/>
    <w:rsid w:val="034A3564"/>
    <w:rsid w:val="034D3637"/>
    <w:rsid w:val="035257D4"/>
    <w:rsid w:val="03A20F8D"/>
    <w:rsid w:val="03C313B1"/>
    <w:rsid w:val="03CE7CF1"/>
    <w:rsid w:val="04097B4C"/>
    <w:rsid w:val="048B3E34"/>
    <w:rsid w:val="049525BD"/>
    <w:rsid w:val="04DD3F64"/>
    <w:rsid w:val="04E4162D"/>
    <w:rsid w:val="04F940D8"/>
    <w:rsid w:val="05316437"/>
    <w:rsid w:val="06C15B0C"/>
    <w:rsid w:val="06D15706"/>
    <w:rsid w:val="06D96DB2"/>
    <w:rsid w:val="077800F2"/>
    <w:rsid w:val="08CB57A5"/>
    <w:rsid w:val="090F71DF"/>
    <w:rsid w:val="09115D3F"/>
    <w:rsid w:val="098A2C4C"/>
    <w:rsid w:val="098A7235"/>
    <w:rsid w:val="09AE02C9"/>
    <w:rsid w:val="09B8006F"/>
    <w:rsid w:val="09D314E2"/>
    <w:rsid w:val="09E43C09"/>
    <w:rsid w:val="09E85885"/>
    <w:rsid w:val="09E97D73"/>
    <w:rsid w:val="0A1D6A69"/>
    <w:rsid w:val="0A4F3CF1"/>
    <w:rsid w:val="0AA43273"/>
    <w:rsid w:val="0B534F80"/>
    <w:rsid w:val="0B715513"/>
    <w:rsid w:val="0BB023D2"/>
    <w:rsid w:val="0BB33FE9"/>
    <w:rsid w:val="0C24447C"/>
    <w:rsid w:val="0C707344"/>
    <w:rsid w:val="0C7C6C55"/>
    <w:rsid w:val="0CE22678"/>
    <w:rsid w:val="0DAA4D8D"/>
    <w:rsid w:val="0DAE5F61"/>
    <w:rsid w:val="0DB24464"/>
    <w:rsid w:val="0E7509E9"/>
    <w:rsid w:val="0EF45ACE"/>
    <w:rsid w:val="0F1A476C"/>
    <w:rsid w:val="0F21718D"/>
    <w:rsid w:val="10150A56"/>
    <w:rsid w:val="10787455"/>
    <w:rsid w:val="108F201D"/>
    <w:rsid w:val="11593F9C"/>
    <w:rsid w:val="11BB42DB"/>
    <w:rsid w:val="126161D4"/>
    <w:rsid w:val="12AD31C8"/>
    <w:rsid w:val="12B409FA"/>
    <w:rsid w:val="12B502CE"/>
    <w:rsid w:val="13136968"/>
    <w:rsid w:val="138327EB"/>
    <w:rsid w:val="14045069"/>
    <w:rsid w:val="14EF1875"/>
    <w:rsid w:val="15080B89"/>
    <w:rsid w:val="15325BC7"/>
    <w:rsid w:val="154E575E"/>
    <w:rsid w:val="15CD7C63"/>
    <w:rsid w:val="167F0119"/>
    <w:rsid w:val="1695644C"/>
    <w:rsid w:val="16983AC0"/>
    <w:rsid w:val="169E54CA"/>
    <w:rsid w:val="174F3C1B"/>
    <w:rsid w:val="17A32B37"/>
    <w:rsid w:val="182A0E16"/>
    <w:rsid w:val="182B3381"/>
    <w:rsid w:val="185A0FF2"/>
    <w:rsid w:val="18C018C1"/>
    <w:rsid w:val="18DA2D15"/>
    <w:rsid w:val="19094ED0"/>
    <w:rsid w:val="192C35F2"/>
    <w:rsid w:val="194C55BC"/>
    <w:rsid w:val="19524AC9"/>
    <w:rsid w:val="196D36B1"/>
    <w:rsid w:val="197A164D"/>
    <w:rsid w:val="19923117"/>
    <w:rsid w:val="1A066493"/>
    <w:rsid w:val="1A5A055A"/>
    <w:rsid w:val="1AA43A3A"/>
    <w:rsid w:val="1AB719D8"/>
    <w:rsid w:val="1B5A0510"/>
    <w:rsid w:val="1BD05469"/>
    <w:rsid w:val="1BE54009"/>
    <w:rsid w:val="1C220782"/>
    <w:rsid w:val="1C3919B9"/>
    <w:rsid w:val="1C920C30"/>
    <w:rsid w:val="1D5E1C8E"/>
    <w:rsid w:val="1DFE6A85"/>
    <w:rsid w:val="1EA75464"/>
    <w:rsid w:val="1EA96F39"/>
    <w:rsid w:val="1EF33E25"/>
    <w:rsid w:val="1F00466F"/>
    <w:rsid w:val="1F04380E"/>
    <w:rsid w:val="1F6F0182"/>
    <w:rsid w:val="1FC14756"/>
    <w:rsid w:val="1FD5585D"/>
    <w:rsid w:val="1FDC0FA3"/>
    <w:rsid w:val="21760672"/>
    <w:rsid w:val="218040F2"/>
    <w:rsid w:val="21CD278A"/>
    <w:rsid w:val="21E943D7"/>
    <w:rsid w:val="225F07DB"/>
    <w:rsid w:val="226F6C1B"/>
    <w:rsid w:val="22832A81"/>
    <w:rsid w:val="22C06F1B"/>
    <w:rsid w:val="238503D1"/>
    <w:rsid w:val="23CB34D7"/>
    <w:rsid w:val="23D94561"/>
    <w:rsid w:val="24183808"/>
    <w:rsid w:val="241E2177"/>
    <w:rsid w:val="24D34D10"/>
    <w:rsid w:val="24E32A79"/>
    <w:rsid w:val="24FE66B7"/>
    <w:rsid w:val="250122E8"/>
    <w:rsid w:val="251B15C1"/>
    <w:rsid w:val="25643BBA"/>
    <w:rsid w:val="25875AFA"/>
    <w:rsid w:val="258F173F"/>
    <w:rsid w:val="26B112B7"/>
    <w:rsid w:val="26C607DA"/>
    <w:rsid w:val="27C508DA"/>
    <w:rsid w:val="27CA5F2E"/>
    <w:rsid w:val="284A6D4A"/>
    <w:rsid w:val="28A864B3"/>
    <w:rsid w:val="28E61CD3"/>
    <w:rsid w:val="294D76EE"/>
    <w:rsid w:val="29890093"/>
    <w:rsid w:val="2A1B2958"/>
    <w:rsid w:val="2A3947B6"/>
    <w:rsid w:val="2AAD286D"/>
    <w:rsid w:val="2AAF1D7B"/>
    <w:rsid w:val="2B30012B"/>
    <w:rsid w:val="2BE47802"/>
    <w:rsid w:val="2C167BD8"/>
    <w:rsid w:val="2C332F28"/>
    <w:rsid w:val="2CDF1769"/>
    <w:rsid w:val="2D3A26F8"/>
    <w:rsid w:val="2D8466F3"/>
    <w:rsid w:val="2DD90EBD"/>
    <w:rsid w:val="2E2E10EA"/>
    <w:rsid w:val="2FC130E0"/>
    <w:rsid w:val="30330A89"/>
    <w:rsid w:val="31572824"/>
    <w:rsid w:val="324F2056"/>
    <w:rsid w:val="3250495A"/>
    <w:rsid w:val="32546D64"/>
    <w:rsid w:val="329704EE"/>
    <w:rsid w:val="32987598"/>
    <w:rsid w:val="329C3D21"/>
    <w:rsid w:val="32DB5A93"/>
    <w:rsid w:val="32ED1692"/>
    <w:rsid w:val="32ED3AF2"/>
    <w:rsid w:val="33F76155"/>
    <w:rsid w:val="34346484"/>
    <w:rsid w:val="34C32C64"/>
    <w:rsid w:val="34E56399"/>
    <w:rsid w:val="34F34F5A"/>
    <w:rsid w:val="35177188"/>
    <w:rsid w:val="35507CB7"/>
    <w:rsid w:val="357F059C"/>
    <w:rsid w:val="35860AB3"/>
    <w:rsid w:val="36060C24"/>
    <w:rsid w:val="3633249C"/>
    <w:rsid w:val="36596948"/>
    <w:rsid w:val="366952CD"/>
    <w:rsid w:val="3677613E"/>
    <w:rsid w:val="36E46B3D"/>
    <w:rsid w:val="38A624F6"/>
    <w:rsid w:val="38E76B84"/>
    <w:rsid w:val="3B4B164C"/>
    <w:rsid w:val="3B4E6A46"/>
    <w:rsid w:val="3BA50921"/>
    <w:rsid w:val="3BC1190E"/>
    <w:rsid w:val="3C220637"/>
    <w:rsid w:val="3C4147FD"/>
    <w:rsid w:val="3C683B38"/>
    <w:rsid w:val="3D4E71D1"/>
    <w:rsid w:val="3D7A7FC6"/>
    <w:rsid w:val="3DE74F30"/>
    <w:rsid w:val="3E084263"/>
    <w:rsid w:val="3E261EFC"/>
    <w:rsid w:val="3E570308"/>
    <w:rsid w:val="3E6C2944"/>
    <w:rsid w:val="3EDE4585"/>
    <w:rsid w:val="3F5C4C29"/>
    <w:rsid w:val="3F655D86"/>
    <w:rsid w:val="40B72AAB"/>
    <w:rsid w:val="40BD0C5A"/>
    <w:rsid w:val="40D43E92"/>
    <w:rsid w:val="412F2067"/>
    <w:rsid w:val="41446D06"/>
    <w:rsid w:val="417061ED"/>
    <w:rsid w:val="41843AA8"/>
    <w:rsid w:val="418C02C8"/>
    <w:rsid w:val="41F44FA6"/>
    <w:rsid w:val="424D79C3"/>
    <w:rsid w:val="43332C50"/>
    <w:rsid w:val="438723EE"/>
    <w:rsid w:val="43B3462B"/>
    <w:rsid w:val="44672D0B"/>
    <w:rsid w:val="44D92178"/>
    <w:rsid w:val="44F63AE3"/>
    <w:rsid w:val="451573E3"/>
    <w:rsid w:val="45D95566"/>
    <w:rsid w:val="461811EC"/>
    <w:rsid w:val="46731A57"/>
    <w:rsid w:val="46911EDD"/>
    <w:rsid w:val="46BF2EEE"/>
    <w:rsid w:val="46C51CAD"/>
    <w:rsid w:val="46E82B94"/>
    <w:rsid w:val="46F74436"/>
    <w:rsid w:val="47FC782A"/>
    <w:rsid w:val="482B5B58"/>
    <w:rsid w:val="48556CE0"/>
    <w:rsid w:val="485B09F4"/>
    <w:rsid w:val="498C22AA"/>
    <w:rsid w:val="499A72FA"/>
    <w:rsid w:val="49D86D93"/>
    <w:rsid w:val="4A381A7F"/>
    <w:rsid w:val="4A855AC4"/>
    <w:rsid w:val="4AFB026D"/>
    <w:rsid w:val="4B7C13AE"/>
    <w:rsid w:val="4BA426B2"/>
    <w:rsid w:val="4BB16A8A"/>
    <w:rsid w:val="4BFB49C8"/>
    <w:rsid w:val="4C11134F"/>
    <w:rsid w:val="4D4264DF"/>
    <w:rsid w:val="4D7D42E3"/>
    <w:rsid w:val="4DFF51C0"/>
    <w:rsid w:val="4EBC43AB"/>
    <w:rsid w:val="4EC23E59"/>
    <w:rsid w:val="4EE16B50"/>
    <w:rsid w:val="4EF3145A"/>
    <w:rsid w:val="4F02606E"/>
    <w:rsid w:val="4F0B3174"/>
    <w:rsid w:val="4F53014A"/>
    <w:rsid w:val="4F622E3D"/>
    <w:rsid w:val="4F840E45"/>
    <w:rsid w:val="4F9B0D6F"/>
    <w:rsid w:val="501222E0"/>
    <w:rsid w:val="506A3ECB"/>
    <w:rsid w:val="50A3035D"/>
    <w:rsid w:val="50CC1DF6"/>
    <w:rsid w:val="50E72427"/>
    <w:rsid w:val="50F55659"/>
    <w:rsid w:val="51321D0D"/>
    <w:rsid w:val="516663AF"/>
    <w:rsid w:val="518965D2"/>
    <w:rsid w:val="51FD2B1C"/>
    <w:rsid w:val="523D4177"/>
    <w:rsid w:val="5257222D"/>
    <w:rsid w:val="532D0026"/>
    <w:rsid w:val="53710ECC"/>
    <w:rsid w:val="53FF3D2D"/>
    <w:rsid w:val="54063F0A"/>
    <w:rsid w:val="546571B3"/>
    <w:rsid w:val="54A35E66"/>
    <w:rsid w:val="54D8573C"/>
    <w:rsid w:val="551714C6"/>
    <w:rsid w:val="55254864"/>
    <w:rsid w:val="558239B2"/>
    <w:rsid w:val="55A97854"/>
    <w:rsid w:val="55AA2FBB"/>
    <w:rsid w:val="55BB6F76"/>
    <w:rsid w:val="56855C53"/>
    <w:rsid w:val="568A786A"/>
    <w:rsid w:val="56CC4206"/>
    <w:rsid w:val="5736478C"/>
    <w:rsid w:val="57724493"/>
    <w:rsid w:val="57B61797"/>
    <w:rsid w:val="58366D88"/>
    <w:rsid w:val="58D26AB1"/>
    <w:rsid w:val="597E09E7"/>
    <w:rsid w:val="59BB7545"/>
    <w:rsid w:val="59C04B5B"/>
    <w:rsid w:val="59CC1752"/>
    <w:rsid w:val="59DF6223"/>
    <w:rsid w:val="59FA54DA"/>
    <w:rsid w:val="5A182874"/>
    <w:rsid w:val="5A184997"/>
    <w:rsid w:val="5B4B2EEE"/>
    <w:rsid w:val="5B520669"/>
    <w:rsid w:val="5BF104ED"/>
    <w:rsid w:val="5C134EAF"/>
    <w:rsid w:val="5C4A24D8"/>
    <w:rsid w:val="5C542343"/>
    <w:rsid w:val="5D557CB0"/>
    <w:rsid w:val="5D814AF2"/>
    <w:rsid w:val="5D8F572A"/>
    <w:rsid w:val="5E384E3C"/>
    <w:rsid w:val="5E7E3F1B"/>
    <w:rsid w:val="5EB15BDF"/>
    <w:rsid w:val="5EC23BDD"/>
    <w:rsid w:val="5F321D32"/>
    <w:rsid w:val="5F5E2A71"/>
    <w:rsid w:val="5FEC0009"/>
    <w:rsid w:val="60427B55"/>
    <w:rsid w:val="604F71F6"/>
    <w:rsid w:val="60BC5A86"/>
    <w:rsid w:val="61AE0D7F"/>
    <w:rsid w:val="61AE5BE1"/>
    <w:rsid w:val="620139F3"/>
    <w:rsid w:val="621F43E9"/>
    <w:rsid w:val="624C764A"/>
    <w:rsid w:val="6290443F"/>
    <w:rsid w:val="62CA387E"/>
    <w:rsid w:val="62E84FFD"/>
    <w:rsid w:val="62F855EF"/>
    <w:rsid w:val="63DF02D4"/>
    <w:rsid w:val="64085A7D"/>
    <w:rsid w:val="64925614"/>
    <w:rsid w:val="64B12EDD"/>
    <w:rsid w:val="64C73242"/>
    <w:rsid w:val="64DA06FB"/>
    <w:rsid w:val="65202952"/>
    <w:rsid w:val="653D3504"/>
    <w:rsid w:val="655E3CA0"/>
    <w:rsid w:val="65605444"/>
    <w:rsid w:val="65841133"/>
    <w:rsid w:val="65C029EA"/>
    <w:rsid w:val="65D815FD"/>
    <w:rsid w:val="665F74AA"/>
    <w:rsid w:val="669A04EE"/>
    <w:rsid w:val="66C96833"/>
    <w:rsid w:val="66E94A4E"/>
    <w:rsid w:val="67C73559"/>
    <w:rsid w:val="67D7193A"/>
    <w:rsid w:val="67F610E1"/>
    <w:rsid w:val="67F92209"/>
    <w:rsid w:val="681D21F9"/>
    <w:rsid w:val="68270DBB"/>
    <w:rsid w:val="685969BF"/>
    <w:rsid w:val="687E00BB"/>
    <w:rsid w:val="68BB130F"/>
    <w:rsid w:val="68EE7CF4"/>
    <w:rsid w:val="69751EEB"/>
    <w:rsid w:val="6A0A6DD1"/>
    <w:rsid w:val="6ABA0B1F"/>
    <w:rsid w:val="6ADC42CC"/>
    <w:rsid w:val="6B36017F"/>
    <w:rsid w:val="6B622468"/>
    <w:rsid w:val="6D49648F"/>
    <w:rsid w:val="6D6E1A9B"/>
    <w:rsid w:val="6DAA1E79"/>
    <w:rsid w:val="6E1C46C7"/>
    <w:rsid w:val="6E1E6313"/>
    <w:rsid w:val="6E3F411F"/>
    <w:rsid w:val="6E6C2C67"/>
    <w:rsid w:val="6E712470"/>
    <w:rsid w:val="6E93537E"/>
    <w:rsid w:val="6E970129"/>
    <w:rsid w:val="6EB14883"/>
    <w:rsid w:val="6EF47563"/>
    <w:rsid w:val="6EFE3D04"/>
    <w:rsid w:val="6F1B2B08"/>
    <w:rsid w:val="6F5E0B5E"/>
    <w:rsid w:val="6F843494"/>
    <w:rsid w:val="6FB2662D"/>
    <w:rsid w:val="6FC96806"/>
    <w:rsid w:val="6FCF6792"/>
    <w:rsid w:val="6FD40F09"/>
    <w:rsid w:val="6FD816E6"/>
    <w:rsid w:val="703A3875"/>
    <w:rsid w:val="70726084"/>
    <w:rsid w:val="710A570E"/>
    <w:rsid w:val="71526589"/>
    <w:rsid w:val="71AD7C63"/>
    <w:rsid w:val="72B83626"/>
    <w:rsid w:val="72BB1A3B"/>
    <w:rsid w:val="72E17BC5"/>
    <w:rsid w:val="745E6FF3"/>
    <w:rsid w:val="74DC12B9"/>
    <w:rsid w:val="74E81D01"/>
    <w:rsid w:val="75114065"/>
    <w:rsid w:val="7538135D"/>
    <w:rsid w:val="753F6E24"/>
    <w:rsid w:val="75551302"/>
    <w:rsid w:val="757A4CA1"/>
    <w:rsid w:val="758E2B5F"/>
    <w:rsid w:val="75B82733"/>
    <w:rsid w:val="760027D0"/>
    <w:rsid w:val="764042AA"/>
    <w:rsid w:val="76611E24"/>
    <w:rsid w:val="76766876"/>
    <w:rsid w:val="76876CD5"/>
    <w:rsid w:val="771E76A2"/>
    <w:rsid w:val="772D38CB"/>
    <w:rsid w:val="7747441F"/>
    <w:rsid w:val="775F2DC8"/>
    <w:rsid w:val="77C8545A"/>
    <w:rsid w:val="77F9775E"/>
    <w:rsid w:val="77FC2DAB"/>
    <w:rsid w:val="781278EA"/>
    <w:rsid w:val="785971C4"/>
    <w:rsid w:val="78917BB0"/>
    <w:rsid w:val="78935DFE"/>
    <w:rsid w:val="79D64306"/>
    <w:rsid w:val="7A0917AF"/>
    <w:rsid w:val="7A1C65F4"/>
    <w:rsid w:val="7A480258"/>
    <w:rsid w:val="7A7237F8"/>
    <w:rsid w:val="7A927765"/>
    <w:rsid w:val="7B1E6D01"/>
    <w:rsid w:val="7B4525CD"/>
    <w:rsid w:val="7B5D0004"/>
    <w:rsid w:val="7B63377E"/>
    <w:rsid w:val="7BA2010D"/>
    <w:rsid w:val="7C23124E"/>
    <w:rsid w:val="7C60245A"/>
    <w:rsid w:val="7C6F355C"/>
    <w:rsid w:val="7C9712F4"/>
    <w:rsid w:val="7CE7227B"/>
    <w:rsid w:val="7CF64A4D"/>
    <w:rsid w:val="7D027AED"/>
    <w:rsid w:val="7D637D15"/>
    <w:rsid w:val="7D9064A4"/>
    <w:rsid w:val="7DAA7ACA"/>
    <w:rsid w:val="7DB642D3"/>
    <w:rsid w:val="7DCB56F9"/>
    <w:rsid w:val="7E1E7F1F"/>
    <w:rsid w:val="7E933D3D"/>
    <w:rsid w:val="7E9401E1"/>
    <w:rsid w:val="7F1E5CFC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jc w:val="center"/>
      <w:outlineLvl w:val="0"/>
    </w:pPr>
    <w:rPr>
      <w:rFonts w:eastAsia="黑体"/>
      <w:sz w:val="44"/>
      <w:szCs w:val="44"/>
    </w:rPr>
  </w:style>
  <w:style w:type="paragraph" w:styleId="4">
    <w:name w:val="heading 2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jc w:val="left"/>
      <w:outlineLvl w:val="1"/>
    </w:pPr>
    <w:rPr>
      <w:rFonts w:ascii="仿宋_GB2312" w:eastAsia="仿宋_GB2312"/>
      <w:b/>
      <w:spacing w:val="1"/>
      <w:w w:val="99"/>
      <w:kern w:val="0"/>
      <w:sz w:val="28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1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黑体" w:hAnsi="宋体" w:eastAsia="黑体"/>
      <w:color w:val="000000"/>
      <w:sz w:val="28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Subtitle"/>
    <w:basedOn w:val="1"/>
    <w:qFormat/>
    <w:uiPriority w:val="11"/>
    <w:pPr>
      <w:widowControl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Cs w:val="32"/>
    </w:rPr>
  </w:style>
  <w:style w:type="paragraph" w:styleId="16">
    <w:name w:val="Body Text First Indent"/>
    <w:basedOn w:val="2"/>
    <w:next w:val="17"/>
    <w:qFormat/>
    <w:uiPriority w:val="0"/>
    <w:pPr>
      <w:spacing w:after="120"/>
      <w:ind w:firstLine="420" w:firstLineChars="100"/>
    </w:pPr>
    <w:rPr>
      <w:rFonts w:ascii="宋体" w:hAnsi="Times New Roman"/>
      <w:sz w:val="21"/>
      <w:lang w:val="en-US" w:eastAsia="zh-CN"/>
    </w:rPr>
  </w:style>
  <w:style w:type="paragraph" w:customStyle="1" w:styleId="17">
    <w:name w:val="样式 正文首行缩进 + 首行缩进:  2 字符1 Char Char"/>
    <w:basedOn w:val="16"/>
    <w:qFormat/>
    <w:uiPriority w:val="0"/>
    <w:pPr>
      <w:adjustRightInd w:val="0"/>
      <w:spacing w:after="0" w:line="400" w:lineRule="exact"/>
      <w:ind w:firstLine="480" w:firstLineChars="200"/>
      <w:textAlignment w:val="baseline"/>
    </w:pPr>
    <w:rPr>
      <w:rFonts w:eastAsia="仿宋_GB2312" w:cs="宋体"/>
      <w:sz w:val="24"/>
      <w:szCs w:val="20"/>
    </w:rPr>
  </w:style>
  <w:style w:type="paragraph" w:styleId="18">
    <w:name w:val="Body Text First Indent 2"/>
    <w:basedOn w:val="8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 w:eastAsia="宋体"/>
      <w:color w:val="auto"/>
      <w:sz w:val="21"/>
      <w:szCs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99"/>
  </w:style>
  <w:style w:type="paragraph" w:customStyle="1" w:styleId="23">
    <w:name w:val="正文缩进1"/>
    <w:basedOn w:val="1"/>
    <w:qFormat/>
    <w:uiPriority w:val="0"/>
    <w:pPr>
      <w:ind w:firstLine="420" w:firstLineChars="200"/>
    </w:pPr>
  </w:style>
  <w:style w:type="paragraph" w:customStyle="1" w:styleId="24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25">
    <w:name w:val="reader-word-layer reader-word-s1-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">
    <w:name w:val="Table Paragraph"/>
    <w:basedOn w:val="1"/>
    <w:qFormat/>
    <w:uiPriority w:val="99"/>
    <w:pPr>
      <w:autoSpaceDE w:val="0"/>
      <w:autoSpaceDN w:val="0"/>
      <w:spacing w:line="360" w:lineRule="auto"/>
      <w:ind w:firstLine="220" w:firstLineChars="200"/>
      <w:jc w:val="left"/>
    </w:pPr>
    <w:rPr>
      <w:rFonts w:ascii="宋体" w:hAnsi="宋体" w:cs="宋体"/>
      <w:kern w:val="0"/>
      <w:sz w:val="24"/>
      <w:szCs w:val="22"/>
      <w:lang w:eastAsia="en-US"/>
    </w:rPr>
  </w:style>
  <w:style w:type="paragraph" w:customStyle="1" w:styleId="28">
    <w:name w:val="样式  + 首行缩进:  2 字符"/>
    <w:basedOn w:val="1"/>
    <w:qFormat/>
    <w:uiPriority w:val="0"/>
    <w:pPr>
      <w:adjustRightInd w:val="0"/>
      <w:snapToGrid w:val="0"/>
      <w:ind w:firstLine="480"/>
    </w:pPr>
    <w:rPr>
      <w:spacing w:val="10"/>
    </w:rPr>
  </w:style>
  <w:style w:type="paragraph" w:customStyle="1" w:styleId="29">
    <w:name w:val="p"/>
    <w:basedOn w:val="1"/>
    <w:qFormat/>
    <w:uiPriority w:val="0"/>
    <w:pPr>
      <w:spacing w:line="525" w:lineRule="atLeast"/>
      <w:ind w:firstLine="375"/>
    </w:pPr>
  </w:style>
  <w:style w:type="paragraph" w:customStyle="1" w:styleId="30">
    <w:name w:val="Bid_正文"/>
    <w:basedOn w:val="6"/>
    <w:qFormat/>
    <w:uiPriority w:val="0"/>
    <w:pPr>
      <w:spacing w:afterLines="50" w:line="360" w:lineRule="auto"/>
      <w:ind w:firstLine="480"/>
    </w:pPr>
    <w:rPr>
      <w:kern w:val="0"/>
      <w:szCs w:val="20"/>
    </w:rPr>
  </w:style>
  <w:style w:type="paragraph" w:customStyle="1" w:styleId="31">
    <w:name w:val="Body Text First Indent 21"/>
    <w:basedOn w:val="32"/>
    <w:next w:val="1"/>
    <w:qFormat/>
    <w:uiPriority w:val="0"/>
    <w:pPr>
      <w:ind w:firstLine="420" w:firstLineChars="200"/>
    </w:pPr>
    <w:rPr>
      <w:rFonts w:ascii="宋体" w:hAnsi="宋体"/>
      <w:sz w:val="22"/>
      <w:szCs w:val="22"/>
      <w:u w:val="none"/>
    </w:rPr>
  </w:style>
  <w:style w:type="paragraph" w:customStyle="1" w:styleId="32">
    <w:name w:val="Body Text Indent1"/>
    <w:basedOn w:val="1"/>
    <w:next w:val="31"/>
    <w:qFormat/>
    <w:uiPriority w:val="0"/>
    <w:pPr>
      <w:spacing w:after="120" w:afterLines="0" w:afterAutospacing="0"/>
      <w:ind w:left="420" w:leftChars="200"/>
    </w:pPr>
  </w:style>
  <w:style w:type="character" w:customStyle="1" w:styleId="33">
    <w:name w:val="font31"/>
    <w:basedOn w:val="2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4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2970</Words>
  <Characters>3249</Characters>
  <Lines>0</Lines>
  <Paragraphs>0</Paragraphs>
  <TotalTime>7</TotalTime>
  <ScaleCrop>false</ScaleCrop>
  <LinksUpToDate>false</LinksUpToDate>
  <CharactersWithSpaces>3541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2022-07-14T08:21:00Z</dcterms:created>
  <dc:creator>马达</dc:creator>
  <cp:lastModifiedBy>酒浪</cp:lastModifiedBy>
  <dcterms:modified xsi:type="dcterms:W3CDTF">2025-12-19T05:11:34Z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CFE8FA11A08D4A37833EF03C555F31A8_13</vt:lpwstr>
  </property>
  <property fmtid="{D5CDD505-2E9C-101B-9397-08002B2CF9AE}" pid="4" name="KSOTemplateDocerSaveRecord">
    <vt:lpwstr>eyJoZGlkIjoiZjRmZjgyNmIyNTJjYmFmMTBjZjc0ZWMyNWI4ODA3ZjciLCJ1c2VySWQiOiI5NDQwNjU0MDMifQ==</vt:lpwstr>
  </property>
</Properties>
</file>